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C705" w14:textId="77777777" w:rsidR="002B33FF" w:rsidRPr="00347CA9" w:rsidRDefault="002B33FF" w:rsidP="002B33FF">
      <w:pPr>
        <w:jc w:val="center"/>
        <w:rPr>
          <w:rFonts w:cs="Poppins"/>
          <w:b/>
          <w:bCs/>
          <w:sz w:val="24"/>
          <w:szCs w:val="32"/>
        </w:rPr>
      </w:pPr>
      <w:bookmarkStart w:id="0" w:name="_Hlk121143225"/>
      <w:bookmarkStart w:id="1" w:name="_Hlk117065504"/>
      <w:bookmarkStart w:id="2" w:name="_Hlk121143438"/>
      <w:bookmarkStart w:id="3" w:name="_Hlk121143473"/>
      <w:bookmarkEnd w:id="0"/>
      <w:bookmarkEnd w:id="1"/>
      <w:bookmarkEnd w:id="2"/>
      <w:bookmarkEnd w:id="3"/>
      <w:r w:rsidRPr="00347CA9">
        <w:rPr>
          <w:rFonts w:cs="Poppins"/>
          <w:b/>
          <w:bCs/>
          <w:sz w:val="24"/>
          <w:szCs w:val="32"/>
        </w:rPr>
        <w:t xml:space="preserve">PUBBLICAZIONE AVVISO DI CONVOCAZIONE </w:t>
      </w:r>
    </w:p>
    <w:p w14:paraId="0047D872" w14:textId="77777777" w:rsidR="002B33FF" w:rsidRPr="00347CA9" w:rsidRDefault="002B33FF" w:rsidP="002B33FF">
      <w:pPr>
        <w:jc w:val="center"/>
        <w:rPr>
          <w:rFonts w:cs="Poppins"/>
          <w:b/>
          <w:bCs/>
          <w:sz w:val="24"/>
          <w:szCs w:val="32"/>
        </w:rPr>
      </w:pPr>
      <w:r w:rsidRPr="00347CA9">
        <w:rPr>
          <w:rFonts w:cs="Poppins"/>
          <w:b/>
          <w:bCs/>
          <w:sz w:val="24"/>
          <w:szCs w:val="32"/>
        </w:rPr>
        <w:t>DELL’ASSEMBLEA ORDINARIA DI SG COMPANY SB SPA</w:t>
      </w:r>
    </w:p>
    <w:p w14:paraId="5F4747C8" w14:textId="77777777" w:rsidR="002B33FF" w:rsidRPr="00893C78" w:rsidRDefault="002B33FF" w:rsidP="002B33FF">
      <w:pPr>
        <w:rPr>
          <w:rFonts w:cs="Poppins"/>
          <w:sz w:val="28"/>
          <w:szCs w:val="28"/>
        </w:rPr>
      </w:pPr>
    </w:p>
    <w:p w14:paraId="4C99B09A" w14:textId="2E7DDCDB" w:rsidR="002B33FF" w:rsidRPr="001E07C9" w:rsidRDefault="002B33FF" w:rsidP="002B33FF">
      <w:pPr>
        <w:jc w:val="both"/>
        <w:rPr>
          <w:rFonts w:cs="Poppins"/>
          <w:szCs w:val="20"/>
        </w:rPr>
      </w:pPr>
      <w:r w:rsidRPr="001E07C9">
        <w:rPr>
          <w:rFonts w:cs="Poppins"/>
          <w:i/>
          <w:iCs/>
          <w:szCs w:val="20"/>
        </w:rPr>
        <w:t>Milano, 1</w:t>
      </w:r>
      <w:r w:rsidR="005E6ADC" w:rsidRPr="001E07C9">
        <w:rPr>
          <w:rFonts w:cs="Poppins"/>
          <w:i/>
          <w:iCs/>
          <w:szCs w:val="20"/>
        </w:rPr>
        <w:t>1</w:t>
      </w:r>
      <w:r w:rsidRPr="001E07C9">
        <w:rPr>
          <w:rFonts w:cs="Poppins"/>
          <w:i/>
          <w:iCs/>
          <w:szCs w:val="20"/>
        </w:rPr>
        <w:t xml:space="preserve"> aprile 2024</w:t>
      </w:r>
      <w:r w:rsidRPr="001E07C9">
        <w:rPr>
          <w:rFonts w:cs="Poppins"/>
          <w:szCs w:val="20"/>
        </w:rPr>
        <w:t xml:space="preserve"> - SG Company Società Benefit S.p.A. (di seguito “SG Company” o il “Gruppo”), tra i principali player in Italia nel settore </w:t>
      </w:r>
      <w:proofErr w:type="spellStart"/>
      <w:r w:rsidRPr="001E07C9">
        <w:rPr>
          <w:rFonts w:cs="Poppins"/>
          <w:szCs w:val="20"/>
        </w:rPr>
        <w:t>Entertainment&amp;Communication</w:t>
      </w:r>
      <w:proofErr w:type="spellEnd"/>
      <w:r w:rsidRPr="001E07C9">
        <w:rPr>
          <w:rFonts w:cs="Poppins"/>
          <w:szCs w:val="20"/>
        </w:rPr>
        <w:t>, quotata sul mercato Euronext Growth Milan (EGM) di Borsa Italiana (ticker: SGC), rende noto che in data odierna è stato pubblicato sul sito internet della Società (</w:t>
      </w:r>
      <w:hyperlink r:id="rId10" w:anchor="Assemblea" w:history="1">
        <w:r w:rsidRPr="001E07C9">
          <w:rPr>
            <w:rStyle w:val="Collegamentoipertestuale"/>
            <w:rFonts w:cs="Poppins"/>
            <w:szCs w:val="20"/>
          </w:rPr>
          <w:t>Assemblea degli azionisti - SG Company Società Benefit S.p.A</w:t>
        </w:r>
      </w:hyperlink>
      <w:r w:rsidRPr="001E07C9">
        <w:rPr>
          <w:rFonts w:cs="Poppins"/>
          <w:szCs w:val="20"/>
        </w:rPr>
        <w:t>) l’avviso di convocazione dell’Assemblea ordinaria degli azionisti. L’estratto di tale avviso è stato altresì pubblicato in data odierna sul quotidiano Italia Oggi nei termini di legge e di statuto.</w:t>
      </w:r>
    </w:p>
    <w:p w14:paraId="3F18F038" w14:textId="77777777" w:rsidR="002B33FF" w:rsidRPr="001E07C9" w:rsidRDefault="002B33FF" w:rsidP="002B33FF">
      <w:pPr>
        <w:jc w:val="both"/>
        <w:rPr>
          <w:rFonts w:cs="Poppins"/>
          <w:szCs w:val="20"/>
        </w:rPr>
      </w:pPr>
    </w:p>
    <w:p w14:paraId="3AC459E1" w14:textId="0C10605F" w:rsidR="002B33FF" w:rsidRPr="001E07C9" w:rsidRDefault="002B33FF" w:rsidP="002B33FF">
      <w:pPr>
        <w:jc w:val="both"/>
        <w:rPr>
          <w:rFonts w:cs="Poppins"/>
          <w:szCs w:val="20"/>
        </w:rPr>
      </w:pPr>
      <w:r w:rsidRPr="001E07C9">
        <w:rPr>
          <w:rFonts w:cs="Poppins"/>
          <w:szCs w:val="20"/>
        </w:rPr>
        <w:t>L’Assemblea ordinaria è stata convocata per il giorno 26 aprile 2024 alle ore 14:30 in prima convocazione e, occorrendo, per il giorno 29 aprile 2024, alle ore 15:</w:t>
      </w:r>
      <w:r w:rsidR="003313B6" w:rsidRPr="001E07C9">
        <w:rPr>
          <w:rFonts w:cs="Poppins"/>
          <w:szCs w:val="20"/>
        </w:rPr>
        <w:t>0</w:t>
      </w:r>
      <w:r w:rsidRPr="001E07C9">
        <w:rPr>
          <w:rFonts w:cs="Poppins"/>
          <w:szCs w:val="20"/>
        </w:rPr>
        <w:t>0, in seconda convocazione, per discutere e deliberare sui seguenti punti all’ordine del giorno:</w:t>
      </w:r>
    </w:p>
    <w:p w14:paraId="19B8D5CC" w14:textId="77777777" w:rsidR="002B33FF" w:rsidRPr="001E07C9" w:rsidRDefault="002B33FF" w:rsidP="002B33FF">
      <w:pPr>
        <w:jc w:val="both"/>
        <w:rPr>
          <w:rFonts w:cs="Poppins"/>
          <w:szCs w:val="20"/>
        </w:rPr>
      </w:pPr>
    </w:p>
    <w:p w14:paraId="623A8DD9" w14:textId="77777777" w:rsidR="001E07C9" w:rsidRPr="00456115" w:rsidRDefault="001E07C9" w:rsidP="00456115">
      <w:pPr>
        <w:pStyle w:val="Paragrafoelenco"/>
        <w:numPr>
          <w:ilvl w:val="0"/>
          <w:numId w:val="16"/>
        </w:numPr>
        <w:spacing w:after="0" w:line="240" w:lineRule="auto"/>
        <w:contextualSpacing w:val="0"/>
        <w:jc w:val="both"/>
        <w:rPr>
          <w:rFonts w:eastAsiaTheme="minorHAnsi" w:cs="Poppins"/>
          <w:sz w:val="20"/>
          <w:szCs w:val="20"/>
          <w:lang w:eastAsia="en-US"/>
        </w:rPr>
      </w:pPr>
      <w:bookmarkStart w:id="4" w:name="_Hlk163062706"/>
      <w:r w:rsidRPr="00456115">
        <w:rPr>
          <w:rFonts w:eastAsiaTheme="minorHAnsi" w:cs="Poppins"/>
          <w:sz w:val="20"/>
          <w:szCs w:val="20"/>
          <w:lang w:eastAsia="en-US"/>
        </w:rPr>
        <w:t xml:space="preserve">Approvazione del Bilancio di esercizio di SG Company SB S.p.A. al 31.12.2023 e presentazione del Bilancio consolidato del gruppo SG Company al 31.12.2023. Deliberazioni inerenti e conseguenti. </w:t>
      </w:r>
    </w:p>
    <w:p w14:paraId="7B60ABF9"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1.1. Approvazione del Bilancio di esercizio di SG Company SB S.p.A. al 31.12.2023 e dei relativi allegati, ivi compreso il Bilancio di sostenibilità;</w:t>
      </w:r>
    </w:p>
    <w:p w14:paraId="46B2701C" w14:textId="77777777" w:rsidR="001E07C9" w:rsidRPr="00456115" w:rsidRDefault="001E07C9" w:rsidP="00456115">
      <w:pPr>
        <w:pStyle w:val="Paragrafoelenco"/>
        <w:numPr>
          <w:ilvl w:val="1"/>
          <w:numId w:val="17"/>
        </w:numPr>
        <w:spacing w:after="0" w:line="240" w:lineRule="auto"/>
        <w:contextualSpacing w:val="0"/>
        <w:jc w:val="both"/>
        <w:rPr>
          <w:rFonts w:eastAsiaTheme="minorHAnsi" w:cs="Poppins"/>
          <w:sz w:val="20"/>
          <w:szCs w:val="20"/>
          <w:lang w:eastAsia="en-US"/>
        </w:rPr>
      </w:pPr>
      <w:r w:rsidRPr="00456115">
        <w:rPr>
          <w:rFonts w:eastAsiaTheme="minorHAnsi" w:cs="Poppins"/>
          <w:sz w:val="20"/>
          <w:szCs w:val="20"/>
          <w:lang w:eastAsia="en-US"/>
        </w:rPr>
        <w:t>Destinazione del risultato di esercizio.</w:t>
      </w:r>
    </w:p>
    <w:p w14:paraId="4683B75E" w14:textId="77777777" w:rsidR="001E07C9" w:rsidRPr="00456115" w:rsidRDefault="001E07C9" w:rsidP="00456115">
      <w:pPr>
        <w:pStyle w:val="Paragrafoelenco"/>
        <w:numPr>
          <w:ilvl w:val="0"/>
          <w:numId w:val="16"/>
        </w:numPr>
        <w:spacing w:after="0" w:line="240" w:lineRule="auto"/>
        <w:contextualSpacing w:val="0"/>
        <w:jc w:val="both"/>
        <w:rPr>
          <w:rFonts w:eastAsiaTheme="minorHAnsi" w:cs="Poppins"/>
          <w:sz w:val="20"/>
          <w:szCs w:val="20"/>
          <w:lang w:eastAsia="en-US"/>
        </w:rPr>
      </w:pPr>
      <w:r w:rsidRPr="00456115">
        <w:rPr>
          <w:rFonts w:eastAsiaTheme="minorHAnsi" w:cs="Poppins"/>
          <w:sz w:val="20"/>
          <w:szCs w:val="20"/>
          <w:lang w:eastAsia="en-US"/>
        </w:rPr>
        <w:t xml:space="preserve">Nomina del Consiglio di Amministrazione e determinazione dei relativi compensi. Deliberazioni inerenti e conseguenti. </w:t>
      </w:r>
    </w:p>
    <w:p w14:paraId="461E58C8"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2.1 Determinazione del numero dei componenti;</w:t>
      </w:r>
    </w:p>
    <w:p w14:paraId="1540BD03"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2.2 Nomina dei consiglieri;</w:t>
      </w:r>
    </w:p>
    <w:p w14:paraId="6F9FD316"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2.3 Durata in carica;</w:t>
      </w:r>
    </w:p>
    <w:p w14:paraId="6171D945"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2.4 Determinazione del compenso.</w:t>
      </w:r>
    </w:p>
    <w:p w14:paraId="67A903A8" w14:textId="77777777" w:rsidR="001E07C9" w:rsidRPr="00456115" w:rsidRDefault="001E07C9" w:rsidP="00456115">
      <w:pPr>
        <w:pStyle w:val="Paragrafoelenco"/>
        <w:numPr>
          <w:ilvl w:val="0"/>
          <w:numId w:val="16"/>
        </w:numPr>
        <w:spacing w:after="0" w:line="240" w:lineRule="auto"/>
        <w:contextualSpacing w:val="0"/>
        <w:jc w:val="both"/>
        <w:rPr>
          <w:rFonts w:eastAsiaTheme="minorHAnsi" w:cs="Poppins"/>
          <w:sz w:val="20"/>
          <w:szCs w:val="20"/>
          <w:lang w:eastAsia="en-US"/>
        </w:rPr>
      </w:pPr>
      <w:r w:rsidRPr="00456115">
        <w:rPr>
          <w:rFonts w:eastAsiaTheme="minorHAnsi" w:cs="Poppins"/>
          <w:sz w:val="20"/>
          <w:szCs w:val="20"/>
          <w:lang w:eastAsia="en-US"/>
        </w:rPr>
        <w:t xml:space="preserve">Nomina del Collegio Sindacale e determinazione dei relativi compensi. Deliberazioni inerenti e conseguenti. </w:t>
      </w:r>
    </w:p>
    <w:p w14:paraId="59FE2AD5"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3.1 Nomina del Collegio Sindacale;</w:t>
      </w:r>
    </w:p>
    <w:p w14:paraId="06BE0F50" w14:textId="77777777" w:rsidR="001E07C9" w:rsidRPr="00456115" w:rsidRDefault="001E07C9" w:rsidP="00456115">
      <w:pPr>
        <w:pStyle w:val="Paragrafoelenco"/>
        <w:ind w:left="360"/>
        <w:jc w:val="both"/>
        <w:rPr>
          <w:rFonts w:eastAsiaTheme="minorHAnsi" w:cs="Poppins"/>
          <w:sz w:val="20"/>
          <w:szCs w:val="20"/>
          <w:lang w:eastAsia="en-US"/>
        </w:rPr>
      </w:pPr>
      <w:r w:rsidRPr="00456115">
        <w:rPr>
          <w:rFonts w:eastAsiaTheme="minorHAnsi" w:cs="Poppins"/>
          <w:sz w:val="20"/>
          <w:szCs w:val="20"/>
          <w:lang w:eastAsia="en-US"/>
        </w:rPr>
        <w:t>3.2 Determinazione del compenso.</w:t>
      </w:r>
    </w:p>
    <w:p w14:paraId="445E330C" w14:textId="77777777" w:rsidR="001E07C9" w:rsidRPr="00456115" w:rsidRDefault="001E07C9" w:rsidP="00456115">
      <w:pPr>
        <w:pStyle w:val="Paragrafoelenco"/>
        <w:numPr>
          <w:ilvl w:val="0"/>
          <w:numId w:val="16"/>
        </w:numPr>
        <w:spacing w:after="0" w:line="240" w:lineRule="auto"/>
        <w:contextualSpacing w:val="0"/>
        <w:jc w:val="both"/>
        <w:rPr>
          <w:rFonts w:eastAsiaTheme="minorHAnsi" w:cs="Poppins"/>
          <w:sz w:val="20"/>
          <w:szCs w:val="20"/>
          <w:lang w:eastAsia="en-US"/>
        </w:rPr>
      </w:pPr>
      <w:r w:rsidRPr="00456115">
        <w:rPr>
          <w:rFonts w:eastAsiaTheme="minorHAnsi" w:cs="Poppins"/>
          <w:sz w:val="20"/>
          <w:szCs w:val="20"/>
          <w:lang w:eastAsia="en-US"/>
        </w:rPr>
        <w:t>Conferimento dell’incarico per la revisione legale dei conti con riferimento agli esercizi 2024-2026. Deliberazioni inerenti e conseguenti.</w:t>
      </w:r>
    </w:p>
    <w:bookmarkEnd w:id="4"/>
    <w:p w14:paraId="6CD93C08" w14:textId="77777777" w:rsidR="001E07C9" w:rsidRPr="001E07C9" w:rsidRDefault="001E07C9" w:rsidP="00456115">
      <w:pPr>
        <w:jc w:val="both"/>
        <w:rPr>
          <w:rFonts w:cs="Poppins"/>
          <w:b/>
          <w:bCs/>
          <w:szCs w:val="20"/>
        </w:rPr>
      </w:pPr>
    </w:p>
    <w:p w14:paraId="64E0F597" w14:textId="77777777" w:rsidR="001E07C9" w:rsidRPr="00456115" w:rsidRDefault="001E07C9" w:rsidP="00456115">
      <w:pPr>
        <w:jc w:val="both"/>
        <w:rPr>
          <w:rFonts w:cs="Poppins"/>
          <w:b/>
          <w:bCs/>
          <w:szCs w:val="20"/>
        </w:rPr>
      </w:pPr>
      <w:r w:rsidRPr="00456115">
        <w:rPr>
          <w:rFonts w:cs="Poppins"/>
          <w:b/>
          <w:bCs/>
          <w:szCs w:val="20"/>
        </w:rPr>
        <w:t>MODALITÀ DI SVOLGIMENTO</w:t>
      </w:r>
    </w:p>
    <w:p w14:paraId="253A9745" w14:textId="77777777" w:rsidR="001E07C9" w:rsidRPr="00456115" w:rsidRDefault="001E07C9" w:rsidP="00456115">
      <w:pPr>
        <w:jc w:val="both"/>
        <w:rPr>
          <w:rFonts w:cs="Poppins"/>
          <w:szCs w:val="20"/>
        </w:rPr>
      </w:pPr>
      <w:bookmarkStart w:id="5" w:name="_Hlk163062909"/>
      <w:r w:rsidRPr="00456115">
        <w:rPr>
          <w:rFonts w:cs="Poppins"/>
          <w:szCs w:val="20"/>
        </w:rPr>
        <w:t>AI sensi della legge n. 18/2024 di conversione del D.L. 215/2023 (cd. “Milleproroghe”), la Società ha deciso di avvalersi della facoltà di prevedere che l’Assemblea si svolga con l’intervento e il voto dei soci in Assemblea esclusivamente tramite il rappresentante designato nominato dalla Società ai sensi dell’articolo 135-undecies del TUF (il Rappresentante Designato”).</w:t>
      </w:r>
    </w:p>
    <w:bookmarkEnd w:id="5"/>
    <w:p w14:paraId="53C9FDBE" w14:textId="77777777" w:rsidR="001E07C9" w:rsidRPr="00456115" w:rsidRDefault="001E07C9" w:rsidP="00456115">
      <w:pPr>
        <w:jc w:val="both"/>
        <w:rPr>
          <w:rFonts w:cs="Poppins"/>
          <w:szCs w:val="20"/>
        </w:rPr>
      </w:pPr>
      <w:r w:rsidRPr="00456115">
        <w:rPr>
          <w:rFonts w:cs="Poppins"/>
          <w:szCs w:val="20"/>
        </w:rPr>
        <w:t xml:space="preserve">L’intervento in Assemblea da parte di Amministratori, Sindaci, esponenti della società di revisione, segretario della riunione, notaio, Rappresentante Designato e di altri eventuali soggetti dei quali sia richiesta la partecipazione, potrà avvenire esclusivamente mediante l’utilizzo di sistemi di </w:t>
      </w:r>
      <w:r w:rsidRPr="00456115">
        <w:rPr>
          <w:rFonts w:cs="Poppins"/>
          <w:szCs w:val="20"/>
        </w:rPr>
        <w:lastRenderedPageBreak/>
        <w:t>collegamento a distanza che consentano l’identificazione, nel rispetto delle disposizioni vigenti e applicabili.</w:t>
      </w:r>
    </w:p>
    <w:p w14:paraId="07184D66" w14:textId="77777777" w:rsidR="001E07C9" w:rsidRPr="001E07C9" w:rsidRDefault="001E07C9" w:rsidP="001E07C9">
      <w:pPr>
        <w:pStyle w:val="Corpotesto"/>
        <w:spacing w:before="6"/>
        <w:jc w:val="both"/>
        <w:rPr>
          <w:rFonts w:ascii="Poppins" w:hAnsi="Poppins" w:cs="Poppins"/>
          <w:sz w:val="20"/>
          <w:szCs w:val="20"/>
        </w:rPr>
      </w:pPr>
    </w:p>
    <w:p w14:paraId="4A5E00B2" w14:textId="77777777" w:rsidR="001E07C9" w:rsidRPr="00456115" w:rsidRDefault="001E07C9" w:rsidP="00456115">
      <w:pPr>
        <w:jc w:val="both"/>
        <w:rPr>
          <w:rFonts w:cs="Poppins"/>
          <w:b/>
          <w:bCs/>
          <w:szCs w:val="20"/>
        </w:rPr>
      </w:pPr>
      <w:r w:rsidRPr="00456115">
        <w:rPr>
          <w:rFonts w:cs="Poppins"/>
          <w:b/>
          <w:bCs/>
          <w:szCs w:val="20"/>
        </w:rPr>
        <w:t>CAPITALE SOCIALE E DIRITTO DI VOTO</w:t>
      </w:r>
    </w:p>
    <w:p w14:paraId="134D80D0" w14:textId="77777777" w:rsidR="001E07C9" w:rsidRPr="00456115" w:rsidRDefault="001E07C9" w:rsidP="00456115">
      <w:pPr>
        <w:jc w:val="both"/>
        <w:rPr>
          <w:rFonts w:cs="Poppins"/>
          <w:szCs w:val="20"/>
        </w:rPr>
      </w:pPr>
      <w:r w:rsidRPr="00456115">
        <w:rPr>
          <w:rFonts w:cs="Poppins"/>
          <w:szCs w:val="20"/>
        </w:rPr>
        <w:t xml:space="preserve">Il capitale sociale della Società, interamente sottoscritto e versato, è pari ad </w:t>
      </w:r>
      <w:proofErr w:type="gramStart"/>
      <w:r w:rsidRPr="00456115">
        <w:rPr>
          <w:rFonts w:cs="Poppins"/>
          <w:szCs w:val="20"/>
        </w:rPr>
        <w:t>Euro</w:t>
      </w:r>
      <w:proofErr w:type="gramEnd"/>
      <w:r w:rsidRPr="00456115">
        <w:rPr>
          <w:rFonts w:cs="Poppins"/>
          <w:szCs w:val="20"/>
        </w:rPr>
        <w:t xml:space="preserve"> 1.606.618,00 ed è suddiviso in n. 33.106.570 azioni senza indicazione del valore nominale, di cui n. 21.313.448 azioni ordinarie, ciascuna con diritto ad un voto, e n. 11.793.122 azioni a voto plurimo (ogni azione dà diritto a tre voti). Alla data del 28.03.2024 la Società detiene n. 271.500 azioni proprie per le quali, ai sensi di legge, il diritto di voto risulta sospeso.</w:t>
      </w:r>
    </w:p>
    <w:p w14:paraId="1F535E5E" w14:textId="77777777" w:rsidR="001E07C9" w:rsidRPr="001E07C9" w:rsidRDefault="001E07C9" w:rsidP="00456115">
      <w:pPr>
        <w:pStyle w:val="Corpotesto"/>
        <w:spacing w:before="10"/>
        <w:jc w:val="both"/>
        <w:rPr>
          <w:rFonts w:ascii="Poppins" w:hAnsi="Poppins" w:cs="Poppins"/>
          <w:sz w:val="20"/>
          <w:szCs w:val="20"/>
        </w:rPr>
      </w:pPr>
    </w:p>
    <w:p w14:paraId="5C57F578" w14:textId="77777777" w:rsidR="001E07C9" w:rsidRPr="00456115" w:rsidRDefault="001E07C9" w:rsidP="00456115">
      <w:pPr>
        <w:jc w:val="both"/>
        <w:rPr>
          <w:rFonts w:cs="Poppins"/>
          <w:b/>
          <w:bCs/>
          <w:szCs w:val="20"/>
        </w:rPr>
      </w:pPr>
      <w:r w:rsidRPr="00456115">
        <w:rPr>
          <w:rFonts w:cs="Poppins"/>
          <w:b/>
          <w:bCs/>
          <w:szCs w:val="20"/>
        </w:rPr>
        <w:t>LEGITTIMAZIONE ALL’INTERVENTO E AL VOTO</w:t>
      </w:r>
    </w:p>
    <w:p w14:paraId="3570D4B6" w14:textId="77777777" w:rsidR="001E07C9" w:rsidRPr="00456115" w:rsidRDefault="001E07C9" w:rsidP="00456115">
      <w:pPr>
        <w:jc w:val="both"/>
        <w:rPr>
          <w:rFonts w:cs="Poppins"/>
          <w:szCs w:val="20"/>
        </w:rPr>
      </w:pPr>
      <w:r w:rsidRPr="00456115">
        <w:rPr>
          <w:rFonts w:cs="Poppins"/>
          <w:szCs w:val="20"/>
        </w:rPr>
        <w:t xml:space="preserve">Ai sensi dell’art. 83-sexies del TUF, la legittimazione all’intervento in Assemblea e all’esercizio del diritto di voto – che potrà avvenire esclusivamente tramite Rappresentante Designato – è attestata da una comunicazione alla Società, effettuata dall’intermediario autorizzato, su richiesta del soggetto a cui spetta il diritto di voto, sulla base delle evidenze delle proprie scritture contabili relative al termine della giornata contabile del settimo giorno di mercato aperto precedente la data fissata per l’Assemblea (ossia il 17 aprile 2024 – record date). Le registrazioni in accredito e in addebito compiute sui conti successivamente a tale termine non rilevano ai fini della legittimazione all’intervento e all’esercizio del voto in Assemblea; pertanto, coloro che risulteranno titolari delle azioni della Società solo successivamente a tale data, non saranno legittimati ad intervenire e votare in Assemblea. La </w:t>
      </w:r>
      <w:proofErr w:type="gramStart"/>
      <w:r w:rsidRPr="00456115">
        <w:rPr>
          <w:rFonts w:cs="Poppins"/>
          <w:szCs w:val="20"/>
        </w:rPr>
        <w:t>predetta</w:t>
      </w:r>
      <w:proofErr w:type="gramEnd"/>
      <w:r w:rsidRPr="00456115">
        <w:rPr>
          <w:rFonts w:cs="Poppins"/>
          <w:szCs w:val="20"/>
        </w:rPr>
        <w:t xml:space="preserve"> comunicazione dell’intermediario autorizzato dovrà pervenire alla Società entro la fine del terzo giorno di mercato aperto precedente la data fissata per l’Assemblea (ossia entro il 23 aprile 2024). Resta tuttavia ferma la legittimazione all’intervento e al voto qualora la comunicazione sia pervenuta alla Società oltre detto termine, purché entro l’inizio dei lavori assembleari.</w:t>
      </w:r>
    </w:p>
    <w:p w14:paraId="449D14F8" w14:textId="77777777" w:rsidR="001E07C9" w:rsidRPr="001E07C9" w:rsidRDefault="001E07C9" w:rsidP="00456115">
      <w:pPr>
        <w:pStyle w:val="Corpotesto"/>
        <w:spacing w:before="5"/>
        <w:jc w:val="both"/>
        <w:rPr>
          <w:rFonts w:ascii="Poppins" w:hAnsi="Poppins" w:cs="Poppins"/>
          <w:sz w:val="20"/>
          <w:szCs w:val="20"/>
        </w:rPr>
      </w:pPr>
    </w:p>
    <w:p w14:paraId="593A598A" w14:textId="77777777" w:rsidR="001E07C9" w:rsidRPr="00456115" w:rsidRDefault="001E07C9" w:rsidP="00456115">
      <w:pPr>
        <w:jc w:val="both"/>
        <w:rPr>
          <w:rFonts w:cs="Poppins"/>
          <w:b/>
          <w:bCs/>
          <w:szCs w:val="20"/>
        </w:rPr>
      </w:pPr>
      <w:r w:rsidRPr="00456115">
        <w:rPr>
          <w:b/>
          <w:bCs/>
          <w:w w:val="80"/>
        </w:rPr>
        <w:t>R</w:t>
      </w:r>
      <w:r w:rsidRPr="00456115">
        <w:rPr>
          <w:rFonts w:cs="Poppins"/>
          <w:b/>
          <w:bCs/>
          <w:szCs w:val="20"/>
        </w:rPr>
        <w:t>APPRESENTANZA IN ASSEMBLEA</w:t>
      </w:r>
    </w:p>
    <w:p w14:paraId="2E89EF1B" w14:textId="54024CB0" w:rsidR="001E07C9" w:rsidRPr="00456115" w:rsidRDefault="001E07C9" w:rsidP="00456115">
      <w:pPr>
        <w:jc w:val="both"/>
        <w:rPr>
          <w:rFonts w:cs="Poppins"/>
          <w:szCs w:val="20"/>
        </w:rPr>
      </w:pPr>
      <w:r w:rsidRPr="00456115">
        <w:rPr>
          <w:rFonts w:cs="Poppins"/>
          <w:szCs w:val="20"/>
        </w:rPr>
        <w:t xml:space="preserve">La Società ha designato </w:t>
      </w:r>
      <w:proofErr w:type="spellStart"/>
      <w:r w:rsidRPr="00456115">
        <w:rPr>
          <w:rFonts w:cs="Poppins"/>
          <w:szCs w:val="20"/>
        </w:rPr>
        <w:t>Aholding</w:t>
      </w:r>
      <w:proofErr w:type="spellEnd"/>
      <w:r w:rsidRPr="00456115">
        <w:rPr>
          <w:rFonts w:cs="Poppins"/>
          <w:szCs w:val="20"/>
        </w:rPr>
        <w:t xml:space="preserve"> S.r.l., con sede legale in Ivrea (TO), Via </w:t>
      </w:r>
      <w:proofErr w:type="spellStart"/>
      <w:r w:rsidRPr="00456115">
        <w:rPr>
          <w:rFonts w:cs="Poppins"/>
          <w:szCs w:val="20"/>
        </w:rPr>
        <w:t>Montenavale</w:t>
      </w:r>
      <w:proofErr w:type="spellEnd"/>
      <w:r w:rsidRPr="00456115">
        <w:rPr>
          <w:rFonts w:cs="Poppins"/>
          <w:szCs w:val="20"/>
        </w:rPr>
        <w:t xml:space="preserve"> 9, quale Rappresentante Designato ai sensi dell’art. 135-undecies del TUF (il “Rappresentante Designato”). Gli azionisti che volessero partecipare all’Assemblea dovranno pertanto conferire al Rappresentante Designato, senza spese per il delegante (fatta eccezione per le eventuali spese di spedizione), la delega – con le istruzioni di voto – sulle proposte di delibera in merito all’argomento all’ordine del giorno, utilizzando lo specifico modulo di delega predisposto dallo stesso Rappresentante Designato in accordo con la Società, reperibile sul sito internet della Società nella sezione </w:t>
      </w:r>
      <w:r w:rsidRPr="00456115">
        <w:rPr>
          <w:rFonts w:cs="Poppins"/>
          <w:i/>
          <w:iCs/>
          <w:szCs w:val="20"/>
        </w:rPr>
        <w:t>Corporate Governance / Assemblea degli Azionisti</w:t>
      </w:r>
      <w:r w:rsidRPr="00456115">
        <w:rPr>
          <w:rFonts w:cs="Poppins"/>
          <w:szCs w:val="20"/>
        </w:rPr>
        <w:t xml:space="preserve"> (</w:t>
      </w:r>
      <w:hyperlink r:id="rId11" w:anchor="Assemblea" w:history="1">
        <w:r w:rsidRPr="00456115">
          <w:rPr>
            <w:rFonts w:cs="Poppins"/>
            <w:color w:val="0070C0"/>
            <w:szCs w:val="20"/>
            <w:u w:val="single"/>
          </w:rPr>
          <w:t>Assemblea degli azionisti - SG Company Società Benefit S.p.A</w:t>
        </w:r>
      </w:hyperlink>
      <w:r w:rsidRPr="00456115">
        <w:rPr>
          <w:rFonts w:cs="Poppins"/>
          <w:szCs w:val="20"/>
        </w:rPr>
        <w:t>).</w:t>
      </w:r>
      <w:r w:rsidRPr="001E07C9">
        <w:rPr>
          <w:spacing w:val="23"/>
          <w:w w:val="80"/>
        </w:rPr>
        <w:t xml:space="preserve"> </w:t>
      </w:r>
      <w:r w:rsidRPr="00456115">
        <w:rPr>
          <w:rFonts w:cs="Poppins"/>
          <w:szCs w:val="20"/>
        </w:rPr>
        <w:t xml:space="preserve">Tale modulo deve essere inoltrato a mezzo raccomandata A/R presso la sede legale del suddetto Rappresentante Designato o mediante comunicazione elettronica all’indirizzo di posta certificata </w:t>
      </w:r>
      <w:hyperlink r:id="rId12">
        <w:r w:rsidRPr="00456115">
          <w:rPr>
            <w:rFonts w:cs="Poppins"/>
            <w:szCs w:val="20"/>
          </w:rPr>
          <w:t xml:space="preserve">assemblea@arubapec.it, </w:t>
        </w:r>
      </w:hyperlink>
      <w:r w:rsidRPr="00456115">
        <w:rPr>
          <w:rFonts w:cs="Poppins"/>
          <w:szCs w:val="20"/>
        </w:rPr>
        <w:t xml:space="preserve">entro la fine del secondo  giorno di mercato aperto precedente la data fissata per l’Assemblea (dunque entro il 24 aprile 2024), unitamente a copia di un documento di identità del socio delegante avente validità corrente o, qualora il socio delegante sia una persona giuridica, del legale rappresentante pro tempore o di altro soggetto munito di idonei poteri. L’invio della delega al </w:t>
      </w:r>
      <w:proofErr w:type="gramStart"/>
      <w:r w:rsidRPr="00456115">
        <w:rPr>
          <w:rFonts w:cs="Poppins"/>
          <w:szCs w:val="20"/>
        </w:rPr>
        <w:t>predetto</w:t>
      </w:r>
      <w:proofErr w:type="gramEnd"/>
      <w:r w:rsidRPr="00456115">
        <w:rPr>
          <w:rFonts w:cs="Poppins"/>
          <w:szCs w:val="20"/>
        </w:rPr>
        <w:t xml:space="preserve"> indirizzo di posta elettronica certificata, sottoscritta con firma elettronica qualificata o digitale, ai sensi della </w:t>
      </w:r>
      <w:r w:rsidRPr="00456115">
        <w:rPr>
          <w:rFonts w:cs="Poppins"/>
          <w:szCs w:val="20"/>
        </w:rPr>
        <w:lastRenderedPageBreak/>
        <w:t xml:space="preserve">normativa vigente, soddisfa il requisito della forma scritta. </w:t>
      </w:r>
      <w:r w:rsidR="00347CA9" w:rsidRPr="00456115">
        <w:rPr>
          <w:rFonts w:cs="Poppins"/>
          <w:szCs w:val="20"/>
        </w:rPr>
        <w:t>La delega</w:t>
      </w:r>
      <w:r w:rsidRPr="00456115">
        <w:rPr>
          <w:rFonts w:cs="Poppins"/>
          <w:szCs w:val="20"/>
        </w:rPr>
        <w:t xml:space="preserve"> e le istruzioni di voto sono sempre revocabili entro il </w:t>
      </w:r>
      <w:proofErr w:type="gramStart"/>
      <w:r w:rsidRPr="00456115">
        <w:rPr>
          <w:rFonts w:cs="Poppins"/>
          <w:szCs w:val="20"/>
        </w:rPr>
        <w:t>predetto</w:t>
      </w:r>
      <w:proofErr w:type="gramEnd"/>
      <w:r w:rsidRPr="00456115">
        <w:rPr>
          <w:rFonts w:cs="Poppins"/>
          <w:szCs w:val="20"/>
        </w:rPr>
        <w:t xml:space="preserve"> termine (24 aprile 2024) e con le medesime modalità sopraindicate.</w:t>
      </w:r>
    </w:p>
    <w:p w14:paraId="7CA6AED4" w14:textId="77777777" w:rsidR="001E07C9" w:rsidRPr="00456115" w:rsidRDefault="001E07C9" w:rsidP="001E07C9">
      <w:pPr>
        <w:pStyle w:val="Corpotesto"/>
        <w:spacing w:before="6"/>
        <w:jc w:val="both"/>
        <w:rPr>
          <w:rFonts w:ascii="Poppins" w:eastAsiaTheme="minorHAnsi" w:hAnsi="Poppins" w:cs="Poppins"/>
          <w:sz w:val="20"/>
          <w:szCs w:val="20"/>
        </w:rPr>
      </w:pPr>
    </w:p>
    <w:p w14:paraId="218DFAEC" w14:textId="77777777" w:rsidR="001E07C9" w:rsidRPr="00456115" w:rsidRDefault="001E07C9" w:rsidP="00456115">
      <w:pPr>
        <w:jc w:val="both"/>
        <w:rPr>
          <w:rFonts w:cs="Poppins"/>
          <w:szCs w:val="20"/>
        </w:rPr>
      </w:pPr>
      <w:r w:rsidRPr="00456115">
        <w:rPr>
          <w:rFonts w:cs="Poppins"/>
          <w:szCs w:val="20"/>
        </w:rPr>
        <w:t xml:space="preserve">Al Rappresentante Designato potranno essere conferite anche deleghe e/o </w:t>
      </w:r>
      <w:proofErr w:type="spellStart"/>
      <w:r w:rsidRPr="00456115">
        <w:rPr>
          <w:rFonts w:cs="Poppins"/>
          <w:szCs w:val="20"/>
        </w:rPr>
        <w:t>subdeleghe</w:t>
      </w:r>
      <w:proofErr w:type="spellEnd"/>
      <w:r w:rsidRPr="00456115">
        <w:rPr>
          <w:rFonts w:cs="Poppins"/>
          <w:szCs w:val="20"/>
        </w:rPr>
        <w:t xml:space="preserve"> ai sensi dell’art. 135-novies del TUF, contenenti istruzioni di voto su tutte o alcune delle proposte all’ordine del giorno. A tal fine è possibile utilizzare il “Modulo Delega/Subdelega”, reperibile sul sito internet della Società, come sopra indicato (unitamente alla delega deve essere trasmessa copia di un documento di identità e, in caso di persona giuridica, della documentazione comprovante i poteri di firma). La delega deve pervenire entro le ore 18:00 del giorno precedente l’Assemblea (e comunque entro l’inizio dei lavori assembleari). Entro il suddetto termine, la delega e istruzioni di voto possono sempre essere revocate con le medesime modalità di cui sopra.</w:t>
      </w:r>
    </w:p>
    <w:p w14:paraId="5EDFE59B" w14:textId="77777777" w:rsidR="001E07C9" w:rsidRPr="001E07C9" w:rsidRDefault="001E07C9" w:rsidP="00456115">
      <w:pPr>
        <w:pStyle w:val="Corpotesto"/>
        <w:spacing w:before="11"/>
        <w:jc w:val="both"/>
        <w:rPr>
          <w:rFonts w:ascii="Poppins" w:hAnsi="Poppins" w:cs="Poppins"/>
          <w:sz w:val="20"/>
          <w:szCs w:val="20"/>
        </w:rPr>
      </w:pPr>
    </w:p>
    <w:p w14:paraId="4E785C26" w14:textId="77777777" w:rsidR="001E07C9" w:rsidRPr="00456115" w:rsidRDefault="001E07C9" w:rsidP="00456115">
      <w:pPr>
        <w:jc w:val="both"/>
        <w:rPr>
          <w:rFonts w:cs="Poppins"/>
          <w:b/>
          <w:bCs/>
          <w:szCs w:val="20"/>
        </w:rPr>
      </w:pPr>
      <w:r w:rsidRPr="00456115">
        <w:rPr>
          <w:rFonts w:cs="Poppins"/>
          <w:b/>
          <w:bCs/>
          <w:szCs w:val="20"/>
        </w:rPr>
        <w:t>INTEGRAZIONE DELL’ORDINE DEL GIORNO DELL’ASSEMBLEA</w:t>
      </w:r>
    </w:p>
    <w:p w14:paraId="7A740CC5" w14:textId="77777777" w:rsidR="001E07C9" w:rsidRPr="00456115" w:rsidRDefault="001E07C9" w:rsidP="00456115">
      <w:pPr>
        <w:jc w:val="both"/>
        <w:rPr>
          <w:rFonts w:cs="Poppins"/>
          <w:szCs w:val="20"/>
        </w:rPr>
      </w:pPr>
      <w:r w:rsidRPr="00456115">
        <w:rPr>
          <w:rFonts w:cs="Poppins"/>
          <w:szCs w:val="20"/>
        </w:rPr>
        <w:t xml:space="preserve">Ai sensi dell’art. 15 del vigente statuto sociale, i soci che rappresentino almeno il 10% del capitale sociale possono chiedere, entro 5 giorni dalla pubblicazione del presente avviso, l’integrazione dell’elenco delle materie da trattare in Assemblea, unitamente ad apposita relazione illustrativa da depositare presso la sede sociale. Le richieste di integrazione dell’ordine del giorno, corredate delle informazioni relative all’identità dei Soci presentatori, dell’indicazione della percentuale del capitale sociale complessivamente detenuta alla data della richiesta, dei riferimenti delle comunicazioni attestanti la titolarità delle azioni e di un eventuale recapito telefonico, devono essere presentate per iscritto e devono pervenire alla Società tramite messaggio di posta elettronica all’indirizzo </w:t>
      </w:r>
      <w:hyperlink r:id="rId13">
        <w:r w:rsidRPr="00456115">
          <w:rPr>
            <w:rFonts w:cs="Poppins"/>
            <w:szCs w:val="20"/>
          </w:rPr>
          <w:t>amministrazione@pec.sg-company.it</w:t>
        </w:r>
      </w:hyperlink>
      <w:r w:rsidRPr="00456115">
        <w:rPr>
          <w:rFonts w:cs="Poppins"/>
          <w:szCs w:val="20"/>
        </w:rPr>
        <w:t>. Dell’integrazione dell’ordine del giorno verrà data notizia, anche tramite pubblicazione su almeno uno dei quotidiani indicati dallo Statuto, al più tardi entro il settimo giorno precedente la data dell’assemblea di prima convocazione. L’integrazione dell’elenco delle materie da trattare non è ammessa per gli argomenti sui quali l’Assemblea delibera, a norma d legge, su proposta degli amministratori o sulla base di un progetto o di una relazione da essi predisposta.</w:t>
      </w:r>
    </w:p>
    <w:p w14:paraId="511AE225" w14:textId="77777777" w:rsidR="001E07C9" w:rsidRPr="001E07C9" w:rsidRDefault="001E07C9" w:rsidP="001E07C9">
      <w:pPr>
        <w:pStyle w:val="Corpotesto"/>
        <w:spacing w:before="4"/>
        <w:jc w:val="both"/>
        <w:rPr>
          <w:rFonts w:ascii="Poppins" w:hAnsi="Poppins" w:cs="Poppins"/>
          <w:sz w:val="20"/>
          <w:szCs w:val="20"/>
        </w:rPr>
      </w:pPr>
    </w:p>
    <w:p w14:paraId="0F627398" w14:textId="77777777" w:rsidR="001E07C9" w:rsidRPr="00456115" w:rsidRDefault="001E07C9" w:rsidP="00456115">
      <w:pPr>
        <w:jc w:val="both"/>
        <w:rPr>
          <w:rFonts w:cs="Poppins"/>
          <w:b/>
          <w:bCs/>
          <w:szCs w:val="20"/>
        </w:rPr>
      </w:pPr>
      <w:r w:rsidRPr="00456115">
        <w:rPr>
          <w:rFonts w:cs="Poppins"/>
          <w:b/>
          <w:bCs/>
          <w:szCs w:val="20"/>
        </w:rPr>
        <w:t>DIRITTO DI PORRE DOMANDE SULLE MATERIE ALL’ORDINE DEL GIORNO</w:t>
      </w:r>
    </w:p>
    <w:p w14:paraId="4EF95301" w14:textId="77777777" w:rsidR="001E07C9" w:rsidRDefault="001E07C9" w:rsidP="00456115">
      <w:pPr>
        <w:jc w:val="both"/>
        <w:rPr>
          <w:rFonts w:cs="Poppins"/>
          <w:szCs w:val="20"/>
        </w:rPr>
      </w:pPr>
      <w:r w:rsidRPr="00456115">
        <w:rPr>
          <w:rFonts w:cs="Poppins"/>
          <w:szCs w:val="20"/>
        </w:rPr>
        <w:t xml:space="preserve">Ai sensi dell’art. 15 del vigente statuto sociale, i soci possono porre domande sulle materie all’ordine del giorno anche prima dell’Assemblea, facendole pervenire alla Società tramite messaggio di posta elettronica all’indirizzo </w:t>
      </w:r>
      <w:hyperlink r:id="rId14">
        <w:r w:rsidRPr="00456115">
          <w:rPr>
            <w:rFonts w:cs="Poppins"/>
            <w:szCs w:val="20"/>
          </w:rPr>
          <w:t xml:space="preserve">amministrazione@pec.sg-company.it, </w:t>
        </w:r>
      </w:hyperlink>
      <w:r w:rsidRPr="00456115">
        <w:rPr>
          <w:rFonts w:cs="Poppins"/>
          <w:szCs w:val="20"/>
        </w:rPr>
        <w:t>entro il settimo giorno di mercato aperto precedente la data dell’Assemblea. Alle domande pervenute prima dell’Assemblea sarà data risposta al più tardi durante l’Assemblea stessa e la Società può fornire una risposta unitaria alle domande aventi lo stesso contenuto. Le richieste d’integrazione e le domande devono essere corredate da apposita certificazione rilasciata dagli intermediari presso cui sono depositate le azioni di titolarità del socio o, in alternativa, dalla stessa comunicazione richiesta per la partecipazione ai lavori assembleari.</w:t>
      </w:r>
    </w:p>
    <w:p w14:paraId="4DF21D76" w14:textId="77777777" w:rsidR="001E07C9" w:rsidRPr="001E07C9" w:rsidRDefault="001E07C9" w:rsidP="001E07C9">
      <w:pPr>
        <w:adjustRightInd w:val="0"/>
        <w:jc w:val="both"/>
        <w:rPr>
          <w:rFonts w:eastAsia="Arial" w:cs="Poppins"/>
          <w:b/>
          <w:bCs/>
          <w:w w:val="80"/>
          <w:szCs w:val="20"/>
        </w:rPr>
      </w:pPr>
    </w:p>
    <w:p w14:paraId="5C611860" w14:textId="77777777" w:rsidR="001E07C9" w:rsidRPr="00456115" w:rsidRDefault="001E07C9" w:rsidP="00456115">
      <w:pPr>
        <w:jc w:val="both"/>
        <w:rPr>
          <w:rFonts w:cs="Poppins"/>
          <w:b/>
          <w:bCs/>
          <w:szCs w:val="20"/>
        </w:rPr>
      </w:pPr>
      <w:r w:rsidRPr="00456115">
        <w:rPr>
          <w:rFonts w:cs="Poppins"/>
          <w:b/>
          <w:bCs/>
          <w:szCs w:val="20"/>
        </w:rPr>
        <w:t xml:space="preserve">DEPOSITO DI LISTE AI FINI DELLA DESIGNAZIONE DEI COMPONENTI DEL CONSIGLIO DI AMMINISTRAZIONE E DEL COLLEGIO SINDACALE </w:t>
      </w:r>
    </w:p>
    <w:p w14:paraId="339EDE2F" w14:textId="60A34EE5" w:rsidR="001E07C9" w:rsidRPr="00456115" w:rsidRDefault="001E07C9" w:rsidP="00456115">
      <w:pPr>
        <w:jc w:val="both"/>
        <w:rPr>
          <w:rFonts w:cs="Poppins"/>
          <w:szCs w:val="20"/>
        </w:rPr>
      </w:pPr>
      <w:r w:rsidRPr="00456115">
        <w:rPr>
          <w:rFonts w:cs="Poppins"/>
          <w:szCs w:val="20"/>
        </w:rPr>
        <w:lastRenderedPageBreak/>
        <w:t>La nomina del Consiglio di Amministrazione e del Collegio Sindacale avverrà sulla base del meccanismo per voto di lista con riferimento al quale si rimanda alle diposizioni di cui agli articoli 21 e 27 del vigente statuto sociale disponibile presso il sito web della Società (</w:t>
      </w:r>
      <w:hyperlink r:id="rId15" w:anchor="Statuto" w:history="1">
        <w:r w:rsidRPr="00456115">
          <w:rPr>
            <w:color w:val="0070C0"/>
            <w:u w:val="single"/>
          </w:rPr>
          <w:t>SG Company Società Benefit S.p.A | Corporate Governance</w:t>
        </w:r>
      </w:hyperlink>
      <w:r w:rsidRPr="00456115">
        <w:rPr>
          <w:rFonts w:cs="Poppins"/>
          <w:szCs w:val="20"/>
        </w:rPr>
        <w:t>). Le liste dovranno essere depositate o pervenire presso la sede legale della Società entro il 19 aprile 2024 alle ore 13:00.</w:t>
      </w:r>
      <w:r w:rsidR="00C15445">
        <w:rPr>
          <w:rFonts w:cs="Poppins"/>
          <w:szCs w:val="20"/>
        </w:rPr>
        <w:t xml:space="preserve"> </w:t>
      </w:r>
      <w:r w:rsidRPr="00456115">
        <w:rPr>
          <w:rFonts w:cs="Poppins"/>
          <w:szCs w:val="20"/>
        </w:rPr>
        <w:t>Con riferimento alla nomina del Consiglio di Amministrazione si ricorda che le liste devono contenere un numero di candidati pari al numero massimo di amministratori da nominare, di cui almeno 1 (uno) candidato in possesso dei requisiti di indipendenza previsti dall'art. 148, comma 3, TUF.</w:t>
      </w:r>
    </w:p>
    <w:p w14:paraId="70BE764E" w14:textId="77777777" w:rsidR="001E07C9" w:rsidRPr="001E07C9" w:rsidRDefault="001E07C9" w:rsidP="00456115">
      <w:pPr>
        <w:pStyle w:val="Corpotesto"/>
        <w:spacing w:before="7"/>
        <w:jc w:val="both"/>
        <w:rPr>
          <w:rFonts w:ascii="Poppins" w:hAnsi="Poppins" w:cs="Poppins"/>
          <w:w w:val="80"/>
          <w:sz w:val="20"/>
          <w:szCs w:val="20"/>
        </w:rPr>
      </w:pPr>
    </w:p>
    <w:p w14:paraId="55CD883E" w14:textId="77777777" w:rsidR="001E07C9" w:rsidRPr="00456115" w:rsidRDefault="001E07C9" w:rsidP="00456115">
      <w:pPr>
        <w:jc w:val="both"/>
        <w:rPr>
          <w:rFonts w:cs="Poppins"/>
          <w:b/>
          <w:bCs/>
          <w:szCs w:val="20"/>
        </w:rPr>
      </w:pPr>
      <w:r w:rsidRPr="00456115">
        <w:rPr>
          <w:rFonts w:cs="Poppins"/>
          <w:b/>
          <w:bCs/>
          <w:szCs w:val="20"/>
        </w:rPr>
        <w:t>DOCUMENTAZIONE</w:t>
      </w:r>
    </w:p>
    <w:p w14:paraId="48F0A0BE" w14:textId="77777777" w:rsidR="001E07C9" w:rsidRPr="00456115" w:rsidRDefault="001E07C9" w:rsidP="00456115">
      <w:pPr>
        <w:jc w:val="both"/>
        <w:rPr>
          <w:rFonts w:cs="Poppins"/>
          <w:szCs w:val="20"/>
        </w:rPr>
      </w:pPr>
      <w:r w:rsidRPr="00456115">
        <w:rPr>
          <w:rFonts w:cs="Poppins"/>
          <w:szCs w:val="20"/>
        </w:rPr>
        <w:t xml:space="preserve">La documentazione relativa alle Assemblee prevista dalla normativa vigente, ivi compresa la Relazione Illustrativa sulle materie all’ordine del giorno ed il presente avviso di convocazione, è messa a disposizione del pubblico presso la sede legale e sul sito internet della Società, nella sezione </w:t>
      </w:r>
      <w:r w:rsidRPr="00456115">
        <w:rPr>
          <w:rFonts w:cs="Poppins"/>
          <w:i/>
          <w:iCs/>
          <w:szCs w:val="20"/>
        </w:rPr>
        <w:t>Corporate Governance / Assemblea degli Azionisti</w:t>
      </w:r>
      <w:r w:rsidRPr="00456115">
        <w:rPr>
          <w:rFonts w:cs="Poppins"/>
          <w:szCs w:val="20"/>
        </w:rPr>
        <w:t xml:space="preserve"> </w:t>
      </w:r>
      <w:r w:rsidRPr="00456115">
        <w:rPr>
          <w:rFonts w:cs="Poppins"/>
          <w:color w:val="0070C0"/>
          <w:szCs w:val="20"/>
          <w:u w:val="single"/>
        </w:rPr>
        <w:t>(</w:t>
      </w:r>
      <w:hyperlink r:id="rId16" w:anchor="Assemblea" w:history="1">
        <w:r w:rsidRPr="00456115">
          <w:rPr>
            <w:rFonts w:cs="Poppins"/>
            <w:color w:val="0070C0"/>
            <w:szCs w:val="20"/>
            <w:u w:val="single"/>
          </w:rPr>
          <w:t>Assemblea degli azionisti - SG Company Società Benefit S.p.A</w:t>
        </w:r>
      </w:hyperlink>
      <w:r w:rsidRPr="00456115">
        <w:rPr>
          <w:rFonts w:cs="Poppins"/>
          <w:szCs w:val="20"/>
        </w:rPr>
        <w:t>), e il presente avviso di convocazione è diffuso inoltre tramite SDIR. Gli Azionisti hanno facoltà di ottenerne copia.</w:t>
      </w:r>
    </w:p>
    <w:p w14:paraId="5B449A77" w14:textId="77777777" w:rsidR="002B33FF" w:rsidRPr="001E07C9" w:rsidRDefault="002B33FF" w:rsidP="002B33FF">
      <w:pPr>
        <w:jc w:val="both"/>
        <w:rPr>
          <w:rFonts w:cs="Poppins"/>
          <w:szCs w:val="20"/>
        </w:rPr>
      </w:pPr>
    </w:p>
    <w:p w14:paraId="71E6ACD5" w14:textId="32CD564A" w:rsidR="002B33FF" w:rsidRPr="001E07C9" w:rsidRDefault="002B33FF" w:rsidP="002B33FF">
      <w:pPr>
        <w:jc w:val="both"/>
        <w:rPr>
          <w:rFonts w:cs="Poppins"/>
          <w:szCs w:val="20"/>
        </w:rPr>
      </w:pPr>
      <w:r w:rsidRPr="001E07C9">
        <w:rPr>
          <w:rFonts w:cs="Poppins"/>
          <w:szCs w:val="20"/>
        </w:rPr>
        <w:t xml:space="preserve">Il presente comunicato stampa viene messo a disposizione del pubblico sul sito internet della Società, alla pagina </w:t>
      </w:r>
      <w:hyperlink r:id="rId17" w:anchor="Comunicati" w:history="1">
        <w:r w:rsidRPr="001E07C9">
          <w:rPr>
            <w:rStyle w:val="Collegamentoipertestuale"/>
            <w:rFonts w:cs="Poppins"/>
            <w:szCs w:val="20"/>
          </w:rPr>
          <w:t>Comunicati stampa per il mercato finanziario - SG Company Società Benefit S.</w:t>
        </w:r>
        <w:proofErr w:type="gramStart"/>
        <w:r w:rsidRPr="001E07C9">
          <w:rPr>
            <w:rStyle w:val="Collegamentoipertestuale"/>
            <w:rFonts w:cs="Poppins"/>
            <w:szCs w:val="20"/>
          </w:rPr>
          <w:t>p.A</w:t>
        </w:r>
        <w:proofErr w:type="gramEnd"/>
      </w:hyperlink>
      <w:r w:rsidRPr="001E07C9">
        <w:rPr>
          <w:rFonts w:cs="Poppins"/>
          <w:szCs w:val="20"/>
        </w:rPr>
        <w:t>.</w:t>
      </w:r>
    </w:p>
    <w:p w14:paraId="131F80A0" w14:textId="4EF57221" w:rsidR="000C1C4D" w:rsidRPr="00893C78" w:rsidRDefault="000C1C4D" w:rsidP="000C1C4D">
      <w:pPr>
        <w:rPr>
          <w:rFonts w:cs="Poppins"/>
        </w:rPr>
      </w:pPr>
    </w:p>
    <w:p w14:paraId="1817CA95" w14:textId="77777777" w:rsidR="00893C78" w:rsidRPr="00893C78" w:rsidRDefault="00893C78" w:rsidP="00893C78">
      <w:pPr>
        <w:pStyle w:val="Default"/>
        <w:jc w:val="both"/>
        <w:rPr>
          <w:rFonts w:ascii="Poppins" w:hAnsi="Poppins" w:cs="Poppins"/>
          <w:color w:val="7F7F7F" w:themeColor="text1" w:themeTint="80"/>
          <w:sz w:val="16"/>
          <w:szCs w:val="16"/>
          <w:lang w:val="en-US"/>
        </w:rPr>
      </w:pPr>
      <w:r w:rsidRPr="00893C78">
        <w:rPr>
          <w:rFonts w:ascii="Poppins" w:hAnsi="Poppins" w:cs="Poppins"/>
          <w:b/>
          <w:bCs/>
          <w:color w:val="7F7F7F" w:themeColor="text1" w:themeTint="80"/>
          <w:sz w:val="16"/>
          <w:szCs w:val="16"/>
        </w:rPr>
        <w:t>SG Company Società Benefit S.p.A.</w:t>
      </w:r>
      <w:r w:rsidRPr="00893C78">
        <w:rPr>
          <w:rFonts w:ascii="Poppins" w:hAnsi="Poppins" w:cs="Poppins"/>
          <w:color w:val="7F7F7F" w:themeColor="text1" w:themeTint="80"/>
          <w:sz w:val="16"/>
          <w:szCs w:val="16"/>
        </w:rPr>
        <w:t xml:space="preserve"> è una PMI Innovativa con un portafoglio clienti di elevato standing, quotata sul mercato Euronext Growth Milan di Borsa Italiana (ticker: SGC) nel settore Technology. Da oltre 20 anni tra i principali player in Italia, si posiziona nel settore Entertainment &amp; Communication e, tramite le diverse società controllate, è specializzata in attività di Digital &amp; Live Communication, Event production e M.I.C.E. (Sinergie Srl e </w:t>
      </w:r>
      <w:proofErr w:type="spellStart"/>
      <w:r w:rsidRPr="00893C78">
        <w:rPr>
          <w:rFonts w:ascii="Poppins" w:hAnsi="Poppins" w:cs="Poppins"/>
          <w:color w:val="7F7F7F" w:themeColor="text1" w:themeTint="80"/>
          <w:sz w:val="16"/>
          <w:szCs w:val="16"/>
        </w:rPr>
        <w:t>Louder</w:t>
      </w:r>
      <w:proofErr w:type="spellEnd"/>
      <w:r w:rsidRPr="00893C78">
        <w:rPr>
          <w:rFonts w:ascii="Poppins" w:hAnsi="Poppins" w:cs="Poppins"/>
          <w:color w:val="7F7F7F" w:themeColor="text1" w:themeTint="80"/>
          <w:sz w:val="16"/>
          <w:szCs w:val="16"/>
        </w:rPr>
        <w:t xml:space="preserve"> Srl), in digital </w:t>
      </w:r>
      <w:proofErr w:type="spellStart"/>
      <w:r w:rsidRPr="00893C78">
        <w:rPr>
          <w:rFonts w:ascii="Poppins" w:hAnsi="Poppins" w:cs="Poppins"/>
          <w:color w:val="7F7F7F" w:themeColor="text1" w:themeTint="80"/>
          <w:sz w:val="16"/>
          <w:szCs w:val="16"/>
        </w:rPr>
        <w:t>adv</w:t>
      </w:r>
      <w:proofErr w:type="spellEnd"/>
      <w:r w:rsidRPr="00893C78">
        <w:rPr>
          <w:rFonts w:ascii="Poppins" w:hAnsi="Poppins" w:cs="Poppins"/>
          <w:color w:val="7F7F7F" w:themeColor="text1" w:themeTint="80"/>
          <w:sz w:val="16"/>
          <w:szCs w:val="16"/>
        </w:rPr>
        <w:t xml:space="preserve"> e servizi digitali, progetti di </w:t>
      </w:r>
      <w:proofErr w:type="spellStart"/>
      <w:r w:rsidRPr="00893C78">
        <w:rPr>
          <w:rFonts w:ascii="Poppins" w:hAnsi="Poppins" w:cs="Poppins"/>
          <w:color w:val="7F7F7F" w:themeColor="text1" w:themeTint="80"/>
          <w:sz w:val="16"/>
          <w:szCs w:val="16"/>
        </w:rPr>
        <w:t>branded</w:t>
      </w:r>
      <w:proofErr w:type="spellEnd"/>
      <w:r w:rsidRPr="00893C78">
        <w:rPr>
          <w:rFonts w:ascii="Poppins" w:hAnsi="Poppins" w:cs="Poppins"/>
          <w:color w:val="7F7F7F" w:themeColor="text1" w:themeTint="80"/>
          <w:sz w:val="16"/>
          <w:szCs w:val="16"/>
        </w:rPr>
        <w:t xml:space="preserve"> </w:t>
      </w:r>
      <w:proofErr w:type="spellStart"/>
      <w:r w:rsidRPr="00893C78">
        <w:rPr>
          <w:rFonts w:ascii="Poppins" w:hAnsi="Poppins" w:cs="Poppins"/>
          <w:color w:val="7F7F7F" w:themeColor="text1" w:themeTint="80"/>
          <w:sz w:val="16"/>
          <w:szCs w:val="16"/>
        </w:rPr>
        <w:t>content</w:t>
      </w:r>
      <w:proofErr w:type="spellEnd"/>
      <w:r w:rsidRPr="00893C78">
        <w:rPr>
          <w:rFonts w:ascii="Poppins" w:hAnsi="Poppins" w:cs="Poppins"/>
          <w:color w:val="7F7F7F" w:themeColor="text1" w:themeTint="80"/>
          <w:sz w:val="16"/>
          <w:szCs w:val="16"/>
        </w:rPr>
        <w:t xml:space="preserve"> and entertainment, data </w:t>
      </w:r>
      <w:proofErr w:type="spellStart"/>
      <w:r w:rsidRPr="00893C78">
        <w:rPr>
          <w:rFonts w:ascii="Poppins" w:hAnsi="Poppins" w:cs="Poppins"/>
          <w:color w:val="7F7F7F" w:themeColor="text1" w:themeTint="80"/>
          <w:sz w:val="16"/>
          <w:szCs w:val="16"/>
        </w:rPr>
        <w:t>analysis</w:t>
      </w:r>
      <w:proofErr w:type="spellEnd"/>
      <w:r w:rsidRPr="00893C78">
        <w:rPr>
          <w:rFonts w:ascii="Poppins" w:hAnsi="Poppins" w:cs="Poppins"/>
          <w:color w:val="7F7F7F" w:themeColor="text1" w:themeTint="80"/>
          <w:sz w:val="16"/>
          <w:szCs w:val="16"/>
        </w:rPr>
        <w:t>, geomarketing e sviluppo di piattaforme web (</w:t>
      </w:r>
      <w:proofErr w:type="spellStart"/>
      <w:r w:rsidRPr="00893C78">
        <w:rPr>
          <w:rFonts w:ascii="Poppins" w:hAnsi="Poppins" w:cs="Poppins"/>
          <w:color w:val="7F7F7F" w:themeColor="text1" w:themeTint="80"/>
          <w:sz w:val="16"/>
          <w:szCs w:val="16"/>
        </w:rPr>
        <w:t>Geotag</w:t>
      </w:r>
      <w:proofErr w:type="spellEnd"/>
      <w:r w:rsidRPr="00893C78">
        <w:rPr>
          <w:rFonts w:ascii="Poppins" w:hAnsi="Poppins" w:cs="Poppins"/>
          <w:color w:val="7F7F7F" w:themeColor="text1" w:themeTint="80"/>
          <w:sz w:val="16"/>
          <w:szCs w:val="16"/>
        </w:rPr>
        <w:t xml:space="preserve"> Srl e NET-SG Srl), in produzione e post produzione video e audio, </w:t>
      </w:r>
      <w:proofErr w:type="spellStart"/>
      <w:r w:rsidRPr="00893C78">
        <w:rPr>
          <w:rFonts w:ascii="Poppins" w:hAnsi="Poppins" w:cs="Poppins"/>
          <w:color w:val="7F7F7F" w:themeColor="text1" w:themeTint="80"/>
          <w:sz w:val="16"/>
          <w:szCs w:val="16"/>
        </w:rPr>
        <w:t>motion</w:t>
      </w:r>
      <w:proofErr w:type="spellEnd"/>
      <w:r w:rsidRPr="00893C78">
        <w:rPr>
          <w:rFonts w:ascii="Poppins" w:hAnsi="Poppins" w:cs="Poppins"/>
          <w:color w:val="7F7F7F" w:themeColor="text1" w:themeTint="80"/>
          <w:sz w:val="16"/>
          <w:szCs w:val="16"/>
        </w:rPr>
        <w:t xml:space="preserve"> </w:t>
      </w:r>
      <w:proofErr w:type="spellStart"/>
      <w:r w:rsidRPr="00893C78">
        <w:rPr>
          <w:rFonts w:ascii="Poppins" w:hAnsi="Poppins" w:cs="Poppins"/>
          <w:color w:val="7F7F7F" w:themeColor="text1" w:themeTint="80"/>
          <w:sz w:val="16"/>
          <w:szCs w:val="16"/>
        </w:rPr>
        <w:t>grapich</w:t>
      </w:r>
      <w:proofErr w:type="spellEnd"/>
      <w:r w:rsidRPr="00893C78">
        <w:rPr>
          <w:rFonts w:ascii="Poppins" w:hAnsi="Poppins" w:cs="Poppins"/>
          <w:color w:val="7F7F7F" w:themeColor="text1" w:themeTint="80"/>
          <w:sz w:val="16"/>
          <w:szCs w:val="16"/>
        </w:rPr>
        <w:t xml:space="preserve"> e sound design (Double Srl), in strategie di comunicazione integrata e digitale (Mission to Heart S.r.l.) e in shopper &amp; brand </w:t>
      </w:r>
      <w:proofErr w:type="spellStart"/>
      <w:r w:rsidRPr="00893C78">
        <w:rPr>
          <w:rFonts w:ascii="Poppins" w:hAnsi="Poppins" w:cs="Poppins"/>
          <w:color w:val="7F7F7F" w:themeColor="text1" w:themeTint="80"/>
          <w:sz w:val="16"/>
          <w:szCs w:val="16"/>
        </w:rPr>
        <w:t>activation</w:t>
      </w:r>
      <w:proofErr w:type="spellEnd"/>
      <w:r w:rsidRPr="00893C78">
        <w:rPr>
          <w:rFonts w:ascii="Poppins" w:hAnsi="Poppins" w:cs="Poppins"/>
          <w:color w:val="7F7F7F" w:themeColor="text1" w:themeTint="80"/>
          <w:sz w:val="16"/>
          <w:szCs w:val="16"/>
        </w:rPr>
        <w:t xml:space="preserve">, retail </w:t>
      </w:r>
      <w:proofErr w:type="spellStart"/>
      <w:r w:rsidRPr="00893C78">
        <w:rPr>
          <w:rFonts w:ascii="Poppins" w:hAnsi="Poppins" w:cs="Poppins"/>
          <w:color w:val="7F7F7F" w:themeColor="text1" w:themeTint="80"/>
          <w:sz w:val="16"/>
          <w:szCs w:val="16"/>
        </w:rPr>
        <w:t>development</w:t>
      </w:r>
      <w:proofErr w:type="spellEnd"/>
      <w:r w:rsidRPr="00893C78">
        <w:rPr>
          <w:rFonts w:ascii="Poppins" w:hAnsi="Poppins" w:cs="Poppins"/>
          <w:color w:val="7F7F7F" w:themeColor="text1" w:themeTint="80"/>
          <w:sz w:val="16"/>
          <w:szCs w:val="16"/>
        </w:rPr>
        <w:t xml:space="preserve"> &amp; design, events &amp; street marketing, strategy &amp; consulting, customer marketing (FMA Srl). La Società, in coerenza con la sua mission “Sharing Growth”, ha inoltre intrapreso il percorso ESG (Environmental, Social and Governance) credendo fermamente nel valore delle attività a beneficio collettivo, ha adottato il modello organizzativo 231; Sinergie Srl, + uno Srl e FMA Srl sono certificate ISO 9001 per la qualità, Sinergie Srl è certificata ISO 37001 in tema di anticorruzione per una gestione trasparente dell’azienda, Sinergie Srl e </w:t>
      </w:r>
      <w:proofErr w:type="spellStart"/>
      <w:r w:rsidRPr="00893C78">
        <w:rPr>
          <w:rFonts w:ascii="Poppins" w:hAnsi="Poppins" w:cs="Poppins"/>
          <w:color w:val="7F7F7F" w:themeColor="text1" w:themeTint="80"/>
          <w:sz w:val="16"/>
          <w:szCs w:val="16"/>
        </w:rPr>
        <w:t>Louder</w:t>
      </w:r>
      <w:proofErr w:type="spellEnd"/>
      <w:r w:rsidRPr="00893C78">
        <w:rPr>
          <w:rFonts w:ascii="Poppins" w:hAnsi="Poppins" w:cs="Poppins"/>
          <w:color w:val="7F7F7F" w:themeColor="text1" w:themeTint="80"/>
          <w:sz w:val="16"/>
          <w:szCs w:val="16"/>
        </w:rPr>
        <w:t xml:space="preserve"> Srl sono certificate ISO 20121 per la gestione sostenibile degli eventi e i sistemi di gestione per la parità di genere di SG Company SB S.p.A. e Sinergie sono certificati UNI/</w:t>
      </w:r>
      <w:proofErr w:type="spellStart"/>
      <w:r w:rsidRPr="00893C78">
        <w:rPr>
          <w:rFonts w:ascii="Poppins" w:hAnsi="Poppins" w:cs="Poppins"/>
          <w:color w:val="7F7F7F" w:themeColor="text1" w:themeTint="80"/>
          <w:sz w:val="16"/>
          <w:szCs w:val="16"/>
        </w:rPr>
        <w:t>PdR</w:t>
      </w:r>
      <w:proofErr w:type="spellEnd"/>
      <w:r w:rsidRPr="00893C78">
        <w:rPr>
          <w:rFonts w:ascii="Poppins" w:hAnsi="Poppins" w:cs="Poppins"/>
          <w:color w:val="7F7F7F" w:themeColor="text1" w:themeTint="80"/>
          <w:sz w:val="16"/>
          <w:szCs w:val="16"/>
        </w:rPr>
        <w:t xml:space="preserve"> 125:2022. </w:t>
      </w:r>
      <w:r w:rsidRPr="00893C78">
        <w:rPr>
          <w:rFonts w:ascii="Poppins" w:hAnsi="Poppins" w:cs="Poppins"/>
          <w:color w:val="7F7F7F" w:themeColor="text1" w:themeTint="80"/>
          <w:sz w:val="16"/>
          <w:szCs w:val="16"/>
          <w:lang w:val="en-US"/>
        </w:rPr>
        <w:t xml:space="preserve">Sempre </w:t>
      </w:r>
      <w:proofErr w:type="spellStart"/>
      <w:r w:rsidRPr="00893C78">
        <w:rPr>
          <w:rFonts w:ascii="Poppins" w:hAnsi="Poppins" w:cs="Poppins"/>
          <w:color w:val="7F7F7F" w:themeColor="text1" w:themeTint="80"/>
          <w:sz w:val="16"/>
          <w:szCs w:val="16"/>
          <w:lang w:val="en-US"/>
        </w:rPr>
        <w:t>più</w:t>
      </w:r>
      <w:proofErr w:type="spellEnd"/>
      <w:r w:rsidRPr="00893C78">
        <w:rPr>
          <w:rFonts w:ascii="Poppins" w:hAnsi="Poppins" w:cs="Poppins"/>
          <w:color w:val="7F7F7F" w:themeColor="text1" w:themeTint="80"/>
          <w:sz w:val="16"/>
          <w:szCs w:val="16"/>
          <w:lang w:val="en-US"/>
        </w:rPr>
        <w:t xml:space="preserve"> </w:t>
      </w:r>
      <w:proofErr w:type="spellStart"/>
      <w:r w:rsidRPr="00893C78">
        <w:rPr>
          <w:rFonts w:ascii="Poppins" w:hAnsi="Poppins" w:cs="Poppins"/>
          <w:color w:val="7F7F7F" w:themeColor="text1" w:themeTint="80"/>
          <w:sz w:val="16"/>
          <w:szCs w:val="16"/>
          <w:lang w:val="en-US"/>
        </w:rPr>
        <w:t>orientati</w:t>
      </w:r>
      <w:proofErr w:type="spellEnd"/>
      <w:r w:rsidRPr="00893C78">
        <w:rPr>
          <w:rFonts w:ascii="Poppins" w:hAnsi="Poppins" w:cs="Poppins"/>
          <w:color w:val="7F7F7F" w:themeColor="text1" w:themeTint="80"/>
          <w:sz w:val="16"/>
          <w:szCs w:val="16"/>
          <w:lang w:val="en-US"/>
        </w:rPr>
        <w:t xml:space="preserve"> al </w:t>
      </w:r>
      <w:proofErr w:type="spellStart"/>
      <w:r w:rsidRPr="00893C78">
        <w:rPr>
          <w:rFonts w:ascii="Poppins" w:hAnsi="Poppins" w:cs="Poppins"/>
          <w:color w:val="7F7F7F" w:themeColor="text1" w:themeTint="80"/>
          <w:sz w:val="16"/>
          <w:szCs w:val="16"/>
          <w:lang w:val="en-US"/>
        </w:rPr>
        <w:t>futuro</w:t>
      </w:r>
      <w:proofErr w:type="spellEnd"/>
      <w:r w:rsidRPr="00893C78">
        <w:rPr>
          <w:rFonts w:ascii="Poppins" w:hAnsi="Poppins" w:cs="Poppins"/>
          <w:color w:val="7F7F7F" w:themeColor="text1" w:themeTint="80"/>
          <w:sz w:val="16"/>
          <w:szCs w:val="16"/>
          <w:lang w:val="en-US"/>
        </w:rPr>
        <w:t xml:space="preserve">. </w:t>
      </w:r>
    </w:p>
    <w:p w14:paraId="053DCB77" w14:textId="77777777" w:rsidR="00F727C0" w:rsidRPr="00F727C0" w:rsidRDefault="00F727C0" w:rsidP="00F727C0"/>
    <w:tbl>
      <w:tblPr>
        <w:tblStyle w:val="Grigliatabella"/>
        <w:tblW w:w="98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2714"/>
      </w:tblGrid>
      <w:tr w:rsidR="00E778A2" w:rsidRPr="00E778A2" w14:paraId="63A5ED4A" w14:textId="77777777" w:rsidTr="007735CB">
        <w:trPr>
          <w:trHeight w:val="2087"/>
        </w:trPr>
        <w:tc>
          <w:tcPr>
            <w:tcW w:w="7159" w:type="dxa"/>
          </w:tcPr>
          <w:p w14:paraId="5A22756C" w14:textId="77777777" w:rsidR="00E778A2" w:rsidRPr="00E26811" w:rsidRDefault="00E778A2" w:rsidP="00E778A2">
            <w:pPr>
              <w:rPr>
                <w:rFonts w:eastAsia="Calibri" w:cs="Poppins"/>
                <w:color w:val="595959"/>
                <w:sz w:val="16"/>
                <w:szCs w:val="16"/>
              </w:rPr>
            </w:pPr>
            <w:bookmarkStart w:id="6" w:name="_Hlk129680448"/>
            <w:r w:rsidRPr="00E26811">
              <w:rPr>
                <w:rFonts w:eastAsia="Calibri" w:cs="Poppins"/>
                <w:b/>
                <w:bCs/>
                <w:color w:val="595959"/>
                <w:sz w:val="16"/>
                <w:szCs w:val="16"/>
              </w:rPr>
              <w:t>INVESTOR RELATIONS</w:t>
            </w:r>
            <w:r w:rsidRPr="00E26811">
              <w:rPr>
                <w:rFonts w:eastAsia="Calibri" w:cs="Poppins"/>
                <w:b/>
                <w:bCs/>
                <w:color w:val="595959"/>
                <w:sz w:val="16"/>
                <w:szCs w:val="16"/>
              </w:rPr>
              <w:br/>
            </w:r>
            <w:r w:rsidRPr="00E26811">
              <w:rPr>
                <w:rFonts w:eastAsia="Calibri" w:cs="Poppins"/>
                <w:color w:val="595959"/>
                <w:sz w:val="16"/>
                <w:szCs w:val="16"/>
              </w:rPr>
              <w:t xml:space="preserve">Francesco Merone                                                                                                     </w:t>
            </w:r>
          </w:p>
          <w:p w14:paraId="76FF87E6" w14:textId="77777777" w:rsidR="00E778A2" w:rsidRPr="00E26811" w:rsidRDefault="00E778A2" w:rsidP="00E778A2">
            <w:pPr>
              <w:rPr>
                <w:rFonts w:eastAsia="Calibri" w:cs="Poppins"/>
                <w:color w:val="595959"/>
                <w:sz w:val="16"/>
                <w:szCs w:val="16"/>
              </w:rPr>
            </w:pPr>
            <w:r w:rsidRPr="00E26811">
              <w:rPr>
                <w:rFonts w:eastAsia="Calibri" w:cs="Poppins"/>
                <w:color w:val="595959"/>
                <w:sz w:val="16"/>
                <w:szCs w:val="16"/>
              </w:rPr>
              <w:t xml:space="preserve">Roberta Sferrazza Papa                                     </w:t>
            </w:r>
          </w:p>
          <w:p w14:paraId="440D7053" w14:textId="77777777" w:rsidR="00E778A2" w:rsidRPr="00E26811" w:rsidRDefault="00DC77CF" w:rsidP="00E778A2">
            <w:pPr>
              <w:rPr>
                <w:rFonts w:eastAsia="Calibri" w:cs="Poppins"/>
                <w:color w:val="595959"/>
                <w:sz w:val="16"/>
                <w:szCs w:val="16"/>
              </w:rPr>
            </w:pPr>
            <w:hyperlink r:id="rId18" w:history="1">
              <w:r w:rsidR="00E778A2" w:rsidRPr="00E26811">
                <w:rPr>
                  <w:rFonts w:eastAsia="Calibri" w:cs="Poppins"/>
                  <w:color w:val="0563C1"/>
                  <w:sz w:val="16"/>
                  <w:szCs w:val="16"/>
                  <w:u w:val="single"/>
                </w:rPr>
                <w:t>ir@sg-company.it</w:t>
              </w:r>
            </w:hyperlink>
            <w:r w:rsidR="00E778A2" w:rsidRPr="00E26811">
              <w:rPr>
                <w:rFonts w:eastAsia="Calibri" w:cs="Poppins"/>
                <w:color w:val="595959"/>
                <w:sz w:val="16"/>
                <w:szCs w:val="16"/>
              </w:rPr>
              <w:t xml:space="preserve">                                                                                                                    </w:t>
            </w:r>
          </w:p>
          <w:p w14:paraId="529AFE09" w14:textId="77777777" w:rsidR="00E778A2" w:rsidRPr="00E26811" w:rsidRDefault="00E778A2" w:rsidP="00E778A2">
            <w:pPr>
              <w:rPr>
                <w:rFonts w:eastAsia="Calibri" w:cs="Poppins"/>
                <w:color w:val="595959"/>
                <w:sz w:val="16"/>
                <w:szCs w:val="16"/>
              </w:rPr>
            </w:pPr>
            <w:r w:rsidRPr="00E26811">
              <w:rPr>
                <w:rFonts w:eastAsia="Calibri" w:cs="Poppins"/>
                <w:color w:val="595959"/>
                <w:sz w:val="16"/>
                <w:szCs w:val="16"/>
              </w:rPr>
              <w:t xml:space="preserve">+ 39 3297194756               </w:t>
            </w:r>
          </w:p>
          <w:p w14:paraId="1F108FF7" w14:textId="77777777" w:rsidR="00E778A2" w:rsidRPr="00E26811" w:rsidRDefault="00E778A2" w:rsidP="00E778A2">
            <w:pPr>
              <w:rPr>
                <w:rFonts w:eastAsia="Calibri" w:cs="Poppins"/>
                <w:color w:val="595959"/>
                <w:sz w:val="16"/>
                <w:szCs w:val="16"/>
              </w:rPr>
            </w:pPr>
          </w:p>
          <w:p w14:paraId="596FB166" w14:textId="77777777" w:rsidR="00E778A2" w:rsidRPr="00E26811" w:rsidRDefault="00E778A2" w:rsidP="00E778A2">
            <w:pPr>
              <w:rPr>
                <w:rFonts w:eastAsia="Calibri" w:cs="Poppins"/>
                <w:color w:val="595959"/>
                <w:sz w:val="16"/>
                <w:szCs w:val="16"/>
              </w:rPr>
            </w:pPr>
            <w:r w:rsidRPr="00E26811">
              <w:rPr>
                <w:rFonts w:eastAsia="Calibri" w:cs="Poppins"/>
                <w:b/>
                <w:bCs/>
                <w:color w:val="595959"/>
                <w:sz w:val="16"/>
                <w:szCs w:val="16"/>
              </w:rPr>
              <w:t>EGA</w:t>
            </w:r>
            <w:r w:rsidRPr="00E26811">
              <w:rPr>
                <w:rFonts w:eastAsia="Calibri" w:cs="Poppins"/>
                <w:color w:val="595959"/>
                <w:sz w:val="16"/>
                <w:szCs w:val="16"/>
              </w:rPr>
              <w:t xml:space="preserve">: Banca Profilo S.p.A.                                                                                                                                                                                   </w:t>
            </w:r>
          </w:p>
          <w:p w14:paraId="2CF57883" w14:textId="77777777" w:rsidR="00E778A2" w:rsidRPr="00E26811" w:rsidRDefault="00E778A2" w:rsidP="00E778A2">
            <w:pPr>
              <w:rPr>
                <w:rFonts w:eastAsia="Calibri" w:cs="Poppins"/>
                <w:color w:val="595959"/>
                <w:sz w:val="16"/>
                <w:szCs w:val="16"/>
              </w:rPr>
            </w:pPr>
            <w:r w:rsidRPr="00E26811">
              <w:rPr>
                <w:rFonts w:eastAsia="Calibri" w:cs="Poppins"/>
                <w:color w:val="0563C1"/>
                <w:sz w:val="16"/>
                <w:szCs w:val="16"/>
                <w:u w:val="single"/>
              </w:rPr>
              <w:t>sgcompany@bancaprofilo.it</w:t>
            </w:r>
            <w:r w:rsidRPr="00E26811">
              <w:rPr>
                <w:rFonts w:eastAsia="Calibri" w:cs="Poppins"/>
                <w:color w:val="595959"/>
                <w:sz w:val="16"/>
                <w:szCs w:val="16"/>
              </w:rPr>
              <w:t xml:space="preserve">                                                                                    </w:t>
            </w:r>
          </w:p>
          <w:p w14:paraId="54A20A1A" w14:textId="7222F590" w:rsidR="00E778A2" w:rsidRPr="00252FA2" w:rsidRDefault="00E778A2" w:rsidP="00E778A2">
            <w:pPr>
              <w:rPr>
                <w:rFonts w:eastAsia="Calibri" w:cs="Poppins"/>
                <w:color w:val="595959"/>
                <w:sz w:val="16"/>
                <w:szCs w:val="16"/>
              </w:rPr>
            </w:pPr>
            <w:r w:rsidRPr="00E26811">
              <w:rPr>
                <w:rFonts w:eastAsia="Calibri" w:cs="Poppins"/>
                <w:color w:val="595959"/>
                <w:sz w:val="16"/>
                <w:szCs w:val="16"/>
              </w:rPr>
              <w:t xml:space="preserve">+39 02 584081                                                                                                                                      </w:t>
            </w:r>
          </w:p>
        </w:tc>
        <w:tc>
          <w:tcPr>
            <w:tcW w:w="2714" w:type="dxa"/>
          </w:tcPr>
          <w:p w14:paraId="214C8443" w14:textId="77777777" w:rsidR="00E778A2" w:rsidRPr="00347CA9" w:rsidRDefault="00E778A2" w:rsidP="00E778A2">
            <w:pPr>
              <w:rPr>
                <w:rFonts w:eastAsia="Calibri" w:cs="Poppins"/>
                <w:color w:val="595959"/>
                <w:sz w:val="16"/>
                <w:szCs w:val="16"/>
              </w:rPr>
            </w:pPr>
            <w:r w:rsidRPr="00347CA9">
              <w:rPr>
                <w:rFonts w:eastAsia="Calibri" w:cs="Poppins"/>
                <w:b/>
                <w:bCs/>
                <w:color w:val="595959"/>
                <w:sz w:val="16"/>
                <w:szCs w:val="16"/>
              </w:rPr>
              <w:t xml:space="preserve">SPECIALIST: </w:t>
            </w:r>
            <w:r w:rsidRPr="00347CA9">
              <w:rPr>
                <w:rFonts w:eastAsia="Calibri" w:cs="Poppins"/>
                <w:color w:val="595959"/>
                <w:sz w:val="16"/>
                <w:szCs w:val="16"/>
              </w:rPr>
              <w:t>MIT SIM SpA</w:t>
            </w:r>
          </w:p>
          <w:p w14:paraId="0F7AB20B" w14:textId="77777777" w:rsidR="00E778A2" w:rsidRPr="00E26811" w:rsidRDefault="00E778A2" w:rsidP="00E778A2">
            <w:pPr>
              <w:rPr>
                <w:rFonts w:eastAsia="Calibri" w:cs="Poppins"/>
                <w:color w:val="595959"/>
                <w:sz w:val="16"/>
                <w:szCs w:val="16"/>
              </w:rPr>
            </w:pPr>
            <w:r w:rsidRPr="00E26811">
              <w:rPr>
                <w:rFonts w:eastAsia="Calibri" w:cs="Poppins"/>
                <w:color w:val="595959"/>
                <w:sz w:val="16"/>
                <w:szCs w:val="16"/>
              </w:rPr>
              <w:t>Giovanni Eusebio</w:t>
            </w:r>
          </w:p>
          <w:p w14:paraId="710D1035" w14:textId="77777777" w:rsidR="00E778A2" w:rsidRPr="00E26811" w:rsidRDefault="00DC77CF" w:rsidP="00E778A2">
            <w:pPr>
              <w:rPr>
                <w:rFonts w:eastAsia="Calibri" w:cs="Poppins"/>
                <w:color w:val="595959"/>
                <w:sz w:val="16"/>
                <w:szCs w:val="16"/>
              </w:rPr>
            </w:pPr>
            <w:hyperlink r:id="rId19" w:history="1">
              <w:r w:rsidR="00E778A2" w:rsidRPr="00E26811">
                <w:rPr>
                  <w:rFonts w:eastAsia="Calibri" w:cs="Poppins"/>
                  <w:color w:val="0563C1" w:themeColor="hyperlink"/>
                  <w:sz w:val="16"/>
                  <w:szCs w:val="16"/>
                  <w:u w:val="single"/>
                </w:rPr>
                <w:t>giovanni.eusebio@mitsim.it</w:t>
              </w:r>
            </w:hyperlink>
          </w:p>
          <w:p w14:paraId="1D33B4A5" w14:textId="77777777" w:rsidR="00E778A2" w:rsidRPr="00E26811" w:rsidRDefault="00E778A2" w:rsidP="00E778A2">
            <w:pPr>
              <w:rPr>
                <w:rFonts w:eastAsia="Calibri" w:cs="Poppins"/>
                <w:color w:val="595959"/>
                <w:sz w:val="16"/>
                <w:szCs w:val="16"/>
                <w:lang w:val="en-GB"/>
              </w:rPr>
            </w:pPr>
            <w:r w:rsidRPr="00E26811">
              <w:rPr>
                <w:rFonts w:eastAsia="Calibri" w:cs="Poppins"/>
                <w:color w:val="595959"/>
                <w:sz w:val="16"/>
                <w:szCs w:val="16"/>
                <w:lang w:val="en-GB"/>
              </w:rPr>
              <w:t>+ 39 02 30561275</w:t>
            </w:r>
          </w:p>
        </w:tc>
      </w:tr>
      <w:bookmarkEnd w:id="6"/>
    </w:tbl>
    <w:p w14:paraId="4F07AB23" w14:textId="77777777" w:rsidR="00F727C0" w:rsidRPr="00F727C0" w:rsidRDefault="00F727C0" w:rsidP="004B7FCB"/>
    <w:sectPr w:rsidR="00F727C0" w:rsidRPr="00F727C0" w:rsidSect="00D85E3D">
      <w:headerReference w:type="default" r:id="rId20"/>
      <w:footerReference w:type="default" r:id="rId21"/>
      <w:headerReference w:type="first" r:id="rId22"/>
      <w:footerReference w:type="first" r:id="rId23"/>
      <w:pgSz w:w="11906" w:h="16838"/>
      <w:pgMar w:top="2229" w:right="1134" w:bottom="1134" w:left="1134" w:header="708" w:footer="1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A1E9" w14:textId="77777777" w:rsidR="00D85E3D" w:rsidRDefault="00D85E3D" w:rsidP="00015026">
      <w:r>
        <w:separator/>
      </w:r>
    </w:p>
  </w:endnote>
  <w:endnote w:type="continuationSeparator" w:id="0">
    <w:p w14:paraId="32ECA45E" w14:textId="77777777" w:rsidR="00D85E3D" w:rsidRDefault="00D85E3D" w:rsidP="0001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281E" w14:textId="405A67BC" w:rsidR="00015026" w:rsidRDefault="00015026" w:rsidP="00015026">
    <w:pPr>
      <w:pStyle w:val="Pidipagina"/>
      <w:jc w:val="center"/>
    </w:pPr>
    <w:r>
      <w:rPr>
        <w:noProof/>
      </w:rPr>
      <w:drawing>
        <wp:anchor distT="0" distB="0" distL="114300" distR="114300" simplePos="0" relativeHeight="251659264" behindDoc="1" locked="0" layoutInCell="1" allowOverlap="1" wp14:anchorId="674A6C0A" wp14:editId="753AF48A">
          <wp:simplePos x="0" y="0"/>
          <wp:positionH relativeFrom="column">
            <wp:posOffset>975995</wp:posOffset>
          </wp:positionH>
          <wp:positionV relativeFrom="paragraph">
            <wp:posOffset>277474</wp:posOffset>
          </wp:positionV>
          <wp:extent cx="4165600" cy="5334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416560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46D1" w14:textId="2E4F5745" w:rsidR="00015026" w:rsidRDefault="007C44DD" w:rsidP="00015026">
    <w:pPr>
      <w:pStyle w:val="Pidipagina"/>
      <w:jc w:val="center"/>
    </w:pPr>
    <w:r>
      <w:rPr>
        <w:noProof/>
      </w:rPr>
      <w:drawing>
        <wp:anchor distT="0" distB="0" distL="114300" distR="114300" simplePos="0" relativeHeight="251658240" behindDoc="1" locked="0" layoutInCell="1" allowOverlap="1" wp14:anchorId="156FF5B7" wp14:editId="690DBC15">
          <wp:simplePos x="0" y="0"/>
          <wp:positionH relativeFrom="column">
            <wp:posOffset>-720090</wp:posOffset>
          </wp:positionH>
          <wp:positionV relativeFrom="paragraph">
            <wp:posOffset>-27130</wp:posOffset>
          </wp:positionV>
          <wp:extent cx="7548530" cy="1078360"/>
          <wp:effectExtent l="0" t="0" r="0" b="1270"/>
          <wp:wrapNone/>
          <wp:docPr id="20422457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45753"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48530" cy="1078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2DE2" w14:textId="77777777" w:rsidR="00D85E3D" w:rsidRDefault="00D85E3D" w:rsidP="00015026">
      <w:r>
        <w:separator/>
      </w:r>
    </w:p>
  </w:footnote>
  <w:footnote w:type="continuationSeparator" w:id="0">
    <w:p w14:paraId="59272088" w14:textId="77777777" w:rsidR="00D85E3D" w:rsidRDefault="00D85E3D" w:rsidP="0001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F11" w14:textId="03EB657F" w:rsidR="00015026" w:rsidRDefault="00B73145" w:rsidP="00015026">
    <w:pPr>
      <w:pStyle w:val="Intestazione"/>
      <w:jc w:val="center"/>
    </w:pPr>
    <w:r>
      <w:rPr>
        <w:noProof/>
      </w:rPr>
      <w:drawing>
        <wp:anchor distT="0" distB="0" distL="114300" distR="114300" simplePos="0" relativeHeight="251662336" behindDoc="1" locked="0" layoutInCell="1" allowOverlap="1" wp14:anchorId="78A17022" wp14:editId="6EBF8470">
          <wp:simplePos x="0" y="0"/>
          <wp:positionH relativeFrom="column">
            <wp:posOffset>-718908</wp:posOffset>
          </wp:positionH>
          <wp:positionV relativeFrom="paragraph">
            <wp:posOffset>-448376</wp:posOffset>
          </wp:positionV>
          <wp:extent cx="7566137" cy="1526102"/>
          <wp:effectExtent l="0" t="0" r="3175" b="0"/>
          <wp:wrapNone/>
          <wp:docPr id="1415697197" name="Immagine 2" descr="Immagine che contiene testo, bianco,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42718" name="Immagine 2" descr="Immagine che contiene testo, bianco, Carattere,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6137" cy="15261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2696" w14:textId="5A25ACE4" w:rsidR="00015026" w:rsidRDefault="00C91251" w:rsidP="00015026">
    <w:pPr>
      <w:pStyle w:val="Intestazione"/>
      <w:jc w:val="center"/>
    </w:pPr>
    <w:r>
      <w:rPr>
        <w:noProof/>
      </w:rPr>
      <w:drawing>
        <wp:anchor distT="0" distB="0" distL="114300" distR="114300" simplePos="0" relativeHeight="251660288" behindDoc="1" locked="0" layoutInCell="1" allowOverlap="1" wp14:anchorId="726685C2" wp14:editId="00BE21F3">
          <wp:simplePos x="0" y="0"/>
          <wp:positionH relativeFrom="column">
            <wp:posOffset>-720091</wp:posOffset>
          </wp:positionH>
          <wp:positionV relativeFrom="paragraph">
            <wp:posOffset>-449580</wp:posOffset>
          </wp:positionV>
          <wp:extent cx="7566137" cy="1526102"/>
          <wp:effectExtent l="0" t="0" r="3175" b="0"/>
          <wp:wrapNone/>
          <wp:docPr id="1731642718" name="Immagine 2" descr="Immagine che contiene testo, bianco,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42718" name="Immagine 2" descr="Immagine che contiene testo, bianco, Carattere,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25824" cy="15583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A8A"/>
    <w:multiLevelType w:val="multilevel"/>
    <w:tmpl w:val="27B007F0"/>
    <w:lvl w:ilvl="0">
      <w:start w:val="1"/>
      <w:numFmt w:val="decimal"/>
      <w:lvlText w:val="%1"/>
      <w:lvlJc w:val="left"/>
      <w:pPr>
        <w:ind w:left="360" w:hanging="360"/>
      </w:pPr>
      <w:rPr>
        <w:rFonts w:ascii="Calibri" w:hAnsi="Calibri" w:cs="Times New Roman" w:hint="default"/>
        <w:sz w:val="22"/>
      </w:rPr>
    </w:lvl>
    <w:lvl w:ilvl="1">
      <w:start w:val="2"/>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Calibri" w:hAnsi="Calibri" w:cs="Times New Roman" w:hint="default"/>
        <w:sz w:val="22"/>
      </w:rPr>
    </w:lvl>
    <w:lvl w:ilvl="3">
      <w:start w:val="1"/>
      <w:numFmt w:val="decimal"/>
      <w:lvlText w:val="%1.%2.%3.%4"/>
      <w:lvlJc w:val="left"/>
      <w:pPr>
        <w:ind w:left="2160" w:hanging="1080"/>
      </w:pPr>
      <w:rPr>
        <w:rFonts w:ascii="Calibri" w:hAnsi="Calibri" w:cs="Times New Roman" w:hint="default"/>
        <w:sz w:val="22"/>
      </w:rPr>
    </w:lvl>
    <w:lvl w:ilvl="4">
      <w:start w:val="1"/>
      <w:numFmt w:val="decimal"/>
      <w:lvlText w:val="%1.%2.%3.%4.%5"/>
      <w:lvlJc w:val="left"/>
      <w:pPr>
        <w:ind w:left="2520" w:hanging="1080"/>
      </w:pPr>
      <w:rPr>
        <w:rFonts w:ascii="Calibri" w:hAnsi="Calibri" w:cs="Times New Roman" w:hint="default"/>
        <w:sz w:val="22"/>
      </w:rPr>
    </w:lvl>
    <w:lvl w:ilvl="5">
      <w:start w:val="1"/>
      <w:numFmt w:val="decimal"/>
      <w:lvlText w:val="%1.%2.%3.%4.%5.%6"/>
      <w:lvlJc w:val="left"/>
      <w:pPr>
        <w:ind w:left="3240" w:hanging="1440"/>
      </w:pPr>
      <w:rPr>
        <w:rFonts w:ascii="Calibri" w:hAnsi="Calibri" w:cs="Times New Roman" w:hint="default"/>
        <w:sz w:val="22"/>
      </w:rPr>
    </w:lvl>
    <w:lvl w:ilvl="6">
      <w:start w:val="1"/>
      <w:numFmt w:val="decimal"/>
      <w:lvlText w:val="%1.%2.%3.%4.%5.%6.%7"/>
      <w:lvlJc w:val="left"/>
      <w:pPr>
        <w:ind w:left="3600" w:hanging="1440"/>
      </w:pPr>
      <w:rPr>
        <w:rFonts w:ascii="Calibri" w:hAnsi="Calibri" w:cs="Times New Roman" w:hint="default"/>
        <w:sz w:val="22"/>
      </w:rPr>
    </w:lvl>
    <w:lvl w:ilvl="7">
      <w:start w:val="1"/>
      <w:numFmt w:val="decimal"/>
      <w:lvlText w:val="%1.%2.%3.%4.%5.%6.%7.%8"/>
      <w:lvlJc w:val="left"/>
      <w:pPr>
        <w:ind w:left="4320" w:hanging="1800"/>
      </w:pPr>
      <w:rPr>
        <w:rFonts w:ascii="Calibri" w:hAnsi="Calibri" w:cs="Times New Roman" w:hint="default"/>
        <w:sz w:val="22"/>
      </w:rPr>
    </w:lvl>
    <w:lvl w:ilvl="8">
      <w:start w:val="1"/>
      <w:numFmt w:val="decimal"/>
      <w:lvlText w:val="%1.%2.%3.%4.%5.%6.%7.%8.%9"/>
      <w:lvlJc w:val="left"/>
      <w:pPr>
        <w:ind w:left="5040" w:hanging="2160"/>
      </w:pPr>
      <w:rPr>
        <w:rFonts w:ascii="Calibri" w:hAnsi="Calibri" w:cs="Times New Roman" w:hint="default"/>
        <w:sz w:val="22"/>
      </w:rPr>
    </w:lvl>
  </w:abstractNum>
  <w:abstractNum w:abstractNumId="1" w15:restartNumberingAfterBreak="0">
    <w:nsid w:val="128D66FD"/>
    <w:multiLevelType w:val="multilevel"/>
    <w:tmpl w:val="98C67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A06BD"/>
    <w:multiLevelType w:val="multilevel"/>
    <w:tmpl w:val="65B67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DA0D90"/>
    <w:multiLevelType w:val="multilevel"/>
    <w:tmpl w:val="1458F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6295A"/>
    <w:multiLevelType w:val="hybridMultilevel"/>
    <w:tmpl w:val="27B6BB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B954C49"/>
    <w:multiLevelType w:val="multilevel"/>
    <w:tmpl w:val="A0788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A25652"/>
    <w:multiLevelType w:val="hybridMultilevel"/>
    <w:tmpl w:val="5DA01A3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1FA7C7E"/>
    <w:multiLevelType w:val="multilevel"/>
    <w:tmpl w:val="8E70E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E56D0D"/>
    <w:multiLevelType w:val="hybridMultilevel"/>
    <w:tmpl w:val="32AEA84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6C8E5712"/>
    <w:multiLevelType w:val="hybridMultilevel"/>
    <w:tmpl w:val="306C0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B32DC9"/>
    <w:multiLevelType w:val="multilevel"/>
    <w:tmpl w:val="77A8F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7202666">
    <w:abstractNumId w:val="2"/>
  </w:num>
  <w:num w:numId="2" w16cid:durableId="583690597">
    <w:abstractNumId w:val="1"/>
  </w:num>
  <w:num w:numId="3" w16cid:durableId="349531806">
    <w:abstractNumId w:val="10"/>
  </w:num>
  <w:num w:numId="4" w16cid:durableId="2123527719">
    <w:abstractNumId w:val="5"/>
  </w:num>
  <w:num w:numId="5" w16cid:durableId="1962606653">
    <w:abstractNumId w:val="7"/>
  </w:num>
  <w:num w:numId="6" w16cid:durableId="1064451533">
    <w:abstractNumId w:val="3"/>
  </w:num>
  <w:num w:numId="7" w16cid:durableId="358968243">
    <w:abstractNumId w:val="9"/>
  </w:num>
  <w:num w:numId="8" w16cid:durableId="1948124561">
    <w:abstractNumId w:val="2"/>
  </w:num>
  <w:num w:numId="9" w16cid:durableId="1764951461">
    <w:abstractNumId w:val="1"/>
  </w:num>
  <w:num w:numId="10" w16cid:durableId="561602972">
    <w:abstractNumId w:val="4"/>
  </w:num>
  <w:num w:numId="11" w16cid:durableId="13653649">
    <w:abstractNumId w:val="10"/>
  </w:num>
  <w:num w:numId="12" w16cid:durableId="1213886886">
    <w:abstractNumId w:val="5"/>
  </w:num>
  <w:num w:numId="13" w16cid:durableId="1421021877">
    <w:abstractNumId w:val="7"/>
  </w:num>
  <w:num w:numId="14" w16cid:durableId="147672163">
    <w:abstractNumId w:val="3"/>
  </w:num>
  <w:num w:numId="15" w16cid:durableId="1241718679">
    <w:abstractNumId w:val="6"/>
  </w:num>
  <w:num w:numId="16" w16cid:durableId="542445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41994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26"/>
    <w:rsid w:val="00015026"/>
    <w:rsid w:val="000C1C4D"/>
    <w:rsid w:val="000D6C8C"/>
    <w:rsid w:val="001E07C9"/>
    <w:rsid w:val="00252FA2"/>
    <w:rsid w:val="00274881"/>
    <w:rsid w:val="002B33FF"/>
    <w:rsid w:val="003017C8"/>
    <w:rsid w:val="00305A15"/>
    <w:rsid w:val="00317820"/>
    <w:rsid w:val="00324606"/>
    <w:rsid w:val="003313B6"/>
    <w:rsid w:val="00347CA9"/>
    <w:rsid w:val="003C0691"/>
    <w:rsid w:val="0042243D"/>
    <w:rsid w:val="00446592"/>
    <w:rsid w:val="00456115"/>
    <w:rsid w:val="004B4CCE"/>
    <w:rsid w:val="004B7FCB"/>
    <w:rsid w:val="005E6ADC"/>
    <w:rsid w:val="0067598E"/>
    <w:rsid w:val="007C44DD"/>
    <w:rsid w:val="00893C78"/>
    <w:rsid w:val="008C180E"/>
    <w:rsid w:val="00921B28"/>
    <w:rsid w:val="009774B0"/>
    <w:rsid w:val="00A32CA7"/>
    <w:rsid w:val="00A3767E"/>
    <w:rsid w:val="00AA23B8"/>
    <w:rsid w:val="00AC5339"/>
    <w:rsid w:val="00B73145"/>
    <w:rsid w:val="00BC41FC"/>
    <w:rsid w:val="00BE4A37"/>
    <w:rsid w:val="00C15445"/>
    <w:rsid w:val="00C91251"/>
    <w:rsid w:val="00D85E3D"/>
    <w:rsid w:val="00E26811"/>
    <w:rsid w:val="00E778A2"/>
    <w:rsid w:val="00EC0215"/>
    <w:rsid w:val="00F21153"/>
    <w:rsid w:val="00F727C0"/>
    <w:rsid w:val="00F8565E"/>
    <w:rsid w:val="00FE2596"/>
    <w:rsid w:val="0668D470"/>
    <w:rsid w:val="481711A6"/>
    <w:rsid w:val="7DB6D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4056"/>
  <w15:chartTrackingRefBased/>
  <w15:docId w15:val="{09FE1B02-1350-3748-8EE8-B85D3873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07C9"/>
    <w:rPr>
      <w:rFonts w:ascii="Poppins" w:hAnsi="Poppins"/>
      <w:sz w:val="20"/>
    </w:rPr>
  </w:style>
  <w:style w:type="paragraph" w:styleId="Titolo1">
    <w:name w:val="heading 1"/>
    <w:basedOn w:val="Normale"/>
    <w:link w:val="Titolo1Carattere"/>
    <w:uiPriority w:val="9"/>
    <w:qFormat/>
    <w:rsid w:val="001E07C9"/>
    <w:pPr>
      <w:widowControl w:val="0"/>
      <w:autoSpaceDE w:val="0"/>
      <w:autoSpaceDN w:val="0"/>
      <w:ind w:left="114"/>
      <w:outlineLvl w:val="0"/>
    </w:pPr>
    <w:rPr>
      <w:rFonts w:ascii="Arial" w:eastAsia="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026"/>
    <w:pPr>
      <w:tabs>
        <w:tab w:val="center" w:pos="4819"/>
        <w:tab w:val="right" w:pos="9638"/>
      </w:tabs>
    </w:pPr>
  </w:style>
  <w:style w:type="character" w:customStyle="1" w:styleId="IntestazioneCarattere">
    <w:name w:val="Intestazione Carattere"/>
    <w:basedOn w:val="Carpredefinitoparagrafo"/>
    <w:link w:val="Intestazione"/>
    <w:uiPriority w:val="99"/>
    <w:rsid w:val="00015026"/>
  </w:style>
  <w:style w:type="paragraph" w:styleId="Pidipagina">
    <w:name w:val="footer"/>
    <w:basedOn w:val="Normale"/>
    <w:link w:val="PidipaginaCarattere"/>
    <w:uiPriority w:val="99"/>
    <w:unhideWhenUsed/>
    <w:rsid w:val="00015026"/>
    <w:pPr>
      <w:tabs>
        <w:tab w:val="center" w:pos="4819"/>
        <w:tab w:val="right" w:pos="9638"/>
      </w:tabs>
    </w:pPr>
  </w:style>
  <w:style w:type="character" w:customStyle="1" w:styleId="PidipaginaCarattere">
    <w:name w:val="Piè di pagina Carattere"/>
    <w:basedOn w:val="Carpredefinitoparagrafo"/>
    <w:link w:val="Pidipagina"/>
    <w:uiPriority w:val="99"/>
    <w:rsid w:val="00015026"/>
  </w:style>
  <w:style w:type="paragraph" w:styleId="Paragrafoelenco">
    <w:name w:val="List Paragraph"/>
    <w:basedOn w:val="Normale"/>
    <w:uiPriority w:val="34"/>
    <w:qFormat/>
    <w:rsid w:val="000C1C4D"/>
    <w:pPr>
      <w:spacing w:after="160" w:line="259" w:lineRule="auto"/>
      <w:ind w:left="720"/>
      <w:contextualSpacing/>
    </w:pPr>
    <w:rPr>
      <w:rFonts w:eastAsiaTheme="minorEastAsia"/>
      <w:sz w:val="22"/>
      <w:szCs w:val="22"/>
      <w:lang w:eastAsia="it-IT"/>
    </w:rPr>
  </w:style>
  <w:style w:type="character" w:styleId="Collegamentoipertestuale">
    <w:name w:val="Hyperlink"/>
    <w:uiPriority w:val="99"/>
    <w:semiHidden/>
    <w:unhideWhenUsed/>
    <w:rsid w:val="000C1C4D"/>
    <w:rPr>
      <w:color w:val="0000FF"/>
      <w:u w:val="single"/>
    </w:rPr>
  </w:style>
  <w:style w:type="character" w:styleId="Collegamentovisitato">
    <w:name w:val="FollowedHyperlink"/>
    <w:basedOn w:val="Carpredefinitoparagrafo"/>
    <w:uiPriority w:val="99"/>
    <w:semiHidden/>
    <w:unhideWhenUsed/>
    <w:rsid w:val="002B33FF"/>
    <w:rPr>
      <w:color w:val="954F72" w:themeColor="followedHyperlink"/>
      <w:u w:val="single"/>
    </w:rPr>
  </w:style>
  <w:style w:type="paragraph" w:customStyle="1" w:styleId="Default">
    <w:name w:val="Default"/>
    <w:rsid w:val="00893C78"/>
    <w:pPr>
      <w:autoSpaceDE w:val="0"/>
      <w:autoSpaceDN w:val="0"/>
      <w:adjustRightInd w:val="0"/>
    </w:pPr>
    <w:rPr>
      <w:rFonts w:ascii="Times New Roman" w:hAnsi="Times New Roman" w:cs="Times New Roman"/>
      <w:color w:val="000000"/>
    </w:rPr>
  </w:style>
  <w:style w:type="table" w:styleId="Grigliatabella">
    <w:name w:val="Table Grid"/>
    <w:basedOn w:val="Tabellanormale"/>
    <w:uiPriority w:val="39"/>
    <w:rsid w:val="00E7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1E07C9"/>
    <w:rPr>
      <w:rFonts w:ascii="Arial" w:eastAsia="Arial" w:hAnsi="Arial" w:cs="Arial"/>
      <w:b/>
      <w:bCs/>
      <w:sz w:val="22"/>
      <w:szCs w:val="22"/>
    </w:rPr>
  </w:style>
  <w:style w:type="paragraph" w:styleId="Corpotesto">
    <w:name w:val="Body Text"/>
    <w:basedOn w:val="Normale"/>
    <w:link w:val="CorpotestoCarattere"/>
    <w:uiPriority w:val="1"/>
    <w:qFormat/>
    <w:rsid w:val="001E07C9"/>
    <w:pPr>
      <w:widowControl w:val="0"/>
      <w:autoSpaceDE w:val="0"/>
      <w:autoSpaceDN w:val="0"/>
    </w:pPr>
    <w:rPr>
      <w:rFonts w:ascii="Arial MT" w:eastAsia="Arial MT" w:hAnsi="Arial MT" w:cs="Arial MT"/>
      <w:sz w:val="22"/>
      <w:szCs w:val="22"/>
    </w:rPr>
  </w:style>
  <w:style w:type="character" w:customStyle="1" w:styleId="CorpotestoCarattere">
    <w:name w:val="Corpo testo Carattere"/>
    <w:basedOn w:val="Carpredefinitoparagrafo"/>
    <w:link w:val="Corpotesto"/>
    <w:uiPriority w:val="1"/>
    <w:rsid w:val="001E07C9"/>
    <w:rPr>
      <w:rFonts w:ascii="Arial MT" w:eastAsia="Arial MT" w:hAnsi="Arial MT" w:cs="Arial MT"/>
      <w:sz w:val="22"/>
      <w:szCs w:val="22"/>
    </w:rPr>
  </w:style>
  <w:style w:type="paragraph" w:styleId="Nessunaspaziatura">
    <w:name w:val="No Spacing"/>
    <w:uiPriority w:val="1"/>
    <w:qFormat/>
    <w:rsid w:val="001E0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284">
      <w:bodyDiv w:val="1"/>
      <w:marLeft w:val="0"/>
      <w:marRight w:val="0"/>
      <w:marTop w:val="0"/>
      <w:marBottom w:val="0"/>
      <w:divBdr>
        <w:top w:val="none" w:sz="0" w:space="0" w:color="auto"/>
        <w:left w:val="none" w:sz="0" w:space="0" w:color="auto"/>
        <w:bottom w:val="none" w:sz="0" w:space="0" w:color="auto"/>
        <w:right w:val="none" w:sz="0" w:space="0" w:color="auto"/>
      </w:divBdr>
    </w:div>
    <w:div w:id="750154456">
      <w:bodyDiv w:val="1"/>
      <w:marLeft w:val="0"/>
      <w:marRight w:val="0"/>
      <w:marTop w:val="0"/>
      <w:marBottom w:val="0"/>
      <w:divBdr>
        <w:top w:val="none" w:sz="0" w:space="0" w:color="auto"/>
        <w:left w:val="none" w:sz="0" w:space="0" w:color="auto"/>
        <w:bottom w:val="none" w:sz="0" w:space="0" w:color="auto"/>
        <w:right w:val="none" w:sz="0" w:space="0" w:color="auto"/>
      </w:divBdr>
    </w:div>
    <w:div w:id="21381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ministrazione@pec.sg-company.it" TargetMode="External"/><Relationship Id="rId18" Type="http://schemas.openxmlformats.org/officeDocument/2006/relationships/hyperlink" Target="mailto:ir@sg-company.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ssemblea@arubapec.it" TargetMode="External"/><Relationship Id="rId17" Type="http://schemas.openxmlformats.org/officeDocument/2006/relationships/hyperlink" Target="https://www.sg-company.it/investor-rel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g-company.it/corporate-govern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g-company.it/corporate-governanc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g-company.it/corporate-governance" TargetMode="External"/><Relationship Id="rId23" Type="http://schemas.openxmlformats.org/officeDocument/2006/relationships/footer" Target="footer2.xml"/><Relationship Id="rId10" Type="http://schemas.openxmlformats.org/officeDocument/2006/relationships/hyperlink" Target="https://www.sg-company.it/corporate-governance" TargetMode="External"/><Relationship Id="rId19" Type="http://schemas.openxmlformats.org/officeDocument/2006/relationships/hyperlink" Target="mailto:giovanni.eusebio@mitsi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ministrazione@pec.sg-company.i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2F2142FBAC4D4FA1ED3A46CEDFD7AB" ma:contentTypeVersion="13" ma:contentTypeDescription="Creare un nuovo documento." ma:contentTypeScope="" ma:versionID="651a846236eb9f143a5371e476e93ed3">
  <xsd:schema xmlns:xsd="http://www.w3.org/2001/XMLSchema" xmlns:xs="http://www.w3.org/2001/XMLSchema" xmlns:p="http://schemas.microsoft.com/office/2006/metadata/properties" xmlns:ns2="f5aa7e00-3e49-44ac-ba84-c164f060e8bd" xmlns:ns3="daab0754-6a5c-48ae-8a8d-257736417354" targetNamespace="http://schemas.microsoft.com/office/2006/metadata/properties" ma:root="true" ma:fieldsID="7701cce857cda170743a41e477dbbdc8" ns2:_="" ns3:_="">
    <xsd:import namespace="f5aa7e00-3e49-44ac-ba84-c164f060e8bd"/>
    <xsd:import namespace="daab0754-6a5c-48ae-8a8d-2577364173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7e00-3e49-44ac-ba84-c164f060e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0754-6a5c-48ae-8a8d-25773641735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CF0F2-BC3F-4724-9CD6-D1EC70BD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7e00-3e49-44ac-ba84-c164f060e8bd"/>
    <ds:schemaRef ds:uri="daab0754-6a5c-48ae-8a8d-257736417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CE960-71AB-43B1-A016-5D158CE76425}">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aab0754-6a5c-48ae-8a8d-257736417354"/>
    <ds:schemaRef ds:uri="f5aa7e00-3e49-44ac-ba84-c164f060e8bd"/>
  </ds:schemaRefs>
</ds:datastoreItem>
</file>

<file path=customXml/itemProps3.xml><?xml version="1.0" encoding="utf-8"?>
<ds:datastoreItem xmlns:ds="http://schemas.openxmlformats.org/officeDocument/2006/customXml" ds:itemID="{4F8E6663-BB28-4528-B59F-B7ED783C6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2104</Words>
  <Characters>11999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NATASCIA CALASSO</dc:creator>
  <cp:keywords/>
  <dc:description/>
  <cp:lastModifiedBy>ROBERTA SFERRAZZA PAPA</cp:lastModifiedBy>
  <cp:revision>2</cp:revision>
  <cp:lastPrinted>2024-04-05T14:06:00Z</cp:lastPrinted>
  <dcterms:created xsi:type="dcterms:W3CDTF">2024-04-10T17:10:00Z</dcterms:created>
  <dcterms:modified xsi:type="dcterms:W3CDTF">2024-04-10T17:10:00Z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0x010100722F2142FBAC4D4FA1ED3A46CEDFD7AB</vt:lpwstr>
  </property>
  <property fmtid="{D5CDD505-2E9C-101B-9397-08002B2CF9AE}" pid="3" name="MediaServiceImageTags">
    <vt:lpwstr/>
  </property>
</Properties>
</file>